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ind w:firstLine="0"/>
        <w:jc w:val="both"/>
        <w:rPr>
          <w:rFonts w:ascii="宋体" w:hAnsi="宋体" w:cs="宋体"/>
          <w:b/>
          <w:bCs/>
          <w:sz w:val="84"/>
        </w:rPr>
      </w:pPr>
      <w:r>
        <w:rPr>
          <w:rFonts w:hint="eastAsia" w:ascii="宋体" w:hAnsi="宋体" w:cs="宋体"/>
          <w:b/>
          <w:bCs/>
          <w:sz w:val="84"/>
        </w:rPr>
        <w:t xml:space="preserve">  </w:t>
      </w:r>
      <w:r>
        <w:rPr>
          <w:rFonts w:ascii="宋体" w:hAnsi="宋体" w:cs="宋体"/>
          <w:b/>
          <w:bCs/>
          <w:sz w:val="84"/>
        </w:rPr>
      </w:r>
      <w:r/>
    </w:p>
    <w:p>
      <w:pPr>
        <w:pStyle w:val="851"/>
        <w:ind w:firstLine="0"/>
        <w:jc w:val="center"/>
        <w:rPr>
          <w:rFonts w:hint="eastAsia" w:ascii="宋体" w:hAnsi="宋体" w:cs="宋体"/>
          <w:b/>
          <w:bCs/>
          <w:sz w:val="84"/>
        </w:rPr>
      </w:pPr>
      <w:r>
        <w:rPr>
          <w:rFonts w:hint="eastAsia" w:ascii="宋体" w:hAnsi="宋体" w:cs="宋体"/>
          <w:b/>
          <w:bCs/>
          <w:sz w:val="52"/>
          <w:szCs w:val="52"/>
        </w:rPr>
        <w:t xml:space="preserve">竞争性磋商文件</w:t>
      </w:r>
      <w:r>
        <w:rPr>
          <w:rFonts w:hint="eastAsia" w:ascii="宋体" w:hAnsi="宋体" w:cs="宋体"/>
          <w:b/>
          <w:bCs/>
          <w:sz w:val="84"/>
        </w:rPr>
      </w:r>
      <w:r/>
    </w:p>
    <w:p>
      <w:pPr>
        <w:pStyle w:val="851"/>
        <w:ind w:firstLine="0"/>
        <w:rPr>
          <w:rFonts w:hint="eastAsia" w:ascii="宋体" w:hAnsi="宋体" w:cs="宋体"/>
          <w:b/>
          <w:bCs/>
          <w:sz w:val="32"/>
          <w:szCs w:val="32"/>
        </w:rPr>
      </w:pPr>
      <w:r>
        <w:rPr>
          <w:rFonts w:hint="eastAsia" w:ascii="宋体" w:hAnsi="宋体" w:cs="宋体"/>
          <w:b/>
          <w:bCs/>
          <w:sz w:val="32"/>
          <w:szCs w:val="32"/>
        </w:rPr>
      </w:r>
      <w:r/>
    </w:p>
    <w:p>
      <w:pPr>
        <w:pStyle w:val="851"/>
        <w:ind w:firstLine="643"/>
        <w:rPr>
          <w:rFonts w:hint="eastAsia" w:ascii="宋体" w:hAnsi="宋体" w:cs="宋体"/>
          <w:b/>
          <w:bCs/>
          <w:sz w:val="32"/>
        </w:rPr>
      </w:pPr>
      <w:r>
        <w:rPr>
          <w:rFonts w:hint="eastAsia" w:ascii="宋体" w:hAnsi="宋体" w:cs="宋体"/>
          <w:b/>
          <w:bCs/>
          <w:sz w:val="32"/>
        </w:rPr>
      </w:r>
      <w:r/>
    </w:p>
    <w:p>
      <w:pPr>
        <w:pStyle w:val="851"/>
        <w:ind w:firstLine="0"/>
        <w:jc w:val="center"/>
        <w:rPr>
          <w:rFonts w:hint="eastAsia" w:ascii="宋体" w:hAnsi="宋体" w:cs="宋体"/>
          <w:b/>
          <w:bCs/>
          <w:sz w:val="32"/>
        </w:rPr>
      </w:pPr>
      <w:r>
        <w:rPr>
          <w:rFonts w:hint="eastAsia" w:ascii="宋体" w:hAnsi="宋体" w:cs="宋体"/>
          <w:b/>
          <w:bCs/>
          <w:sz w:val="32"/>
        </w:rPr>
        <w:t xml:space="preserve">项目名称：2026年度泰州市区计划生育特殊困难家庭对象</w:t>
      </w:r>
      <w:r>
        <w:rPr>
          <w:rFonts w:hint="eastAsia" w:ascii="宋体" w:hAnsi="宋体" w:cs="宋体"/>
          <w:b/>
          <w:bCs/>
          <w:sz w:val="32"/>
        </w:rPr>
      </w:r>
      <w:r/>
    </w:p>
    <w:p>
      <w:pPr>
        <w:pStyle w:val="851"/>
        <w:ind w:firstLine="0"/>
        <w:jc w:val="center"/>
        <w:rPr>
          <w:rFonts w:hint="eastAsia" w:ascii="宋体" w:hAnsi="宋体" w:cs="宋体"/>
          <w:b/>
          <w:bCs/>
          <w:sz w:val="32"/>
        </w:rPr>
      </w:pPr>
      <w:r>
        <w:rPr>
          <w:rFonts w:hint="eastAsia" w:ascii="宋体" w:hAnsi="宋体" w:cs="宋体"/>
          <w:b/>
          <w:bCs/>
          <w:sz w:val="32"/>
        </w:rPr>
        <w:t xml:space="preserve">住院护理保险项目</w:t>
      </w:r>
      <w:r>
        <w:rPr>
          <w:rFonts w:hint="eastAsia" w:ascii="宋体" w:hAnsi="宋体" w:cs="宋体"/>
          <w:b/>
          <w:bCs/>
          <w:sz w:val="32"/>
        </w:rPr>
      </w:r>
      <w:r/>
    </w:p>
    <w:p>
      <w:pPr>
        <w:pStyle w:val="851"/>
        <w:jc w:val="center"/>
        <w:rPr>
          <w:rFonts w:hint="eastAsia" w:ascii="仿宋" w:hAnsi="仿宋" w:cs="宋体"/>
          <w:b/>
          <w:bCs/>
          <w:sz w:val="30"/>
          <w:szCs w:val="30"/>
        </w:rPr>
      </w:pPr>
      <w:r>
        <w:rPr>
          <w:rFonts w:hint="eastAsia" w:ascii="宋体" w:hAnsi="宋体" w:cs="宋体"/>
          <w:b/>
          <w:bCs/>
          <w:sz w:val="32"/>
        </w:rPr>
        <w:t xml:space="preserve">项目编号:JSZC-321200-JWKJ-C2025-0029</w:t>
      </w:r>
      <w:r>
        <w:rPr>
          <w:rFonts w:hint="eastAsia" w:ascii="仿宋" w:hAnsi="仿宋" w:cs="宋体"/>
          <w:b/>
          <w:bCs/>
          <w:sz w:val="30"/>
          <w:szCs w:val="30"/>
        </w:rPr>
      </w:r>
      <w:r/>
    </w:p>
    <w:p>
      <w:pPr>
        <w:pStyle w:val="851"/>
        <w:jc w:val="center"/>
        <w:rPr>
          <w:rFonts w:hint="eastAsia" w:ascii="宋体" w:hAnsi="宋体" w:cs="宋体"/>
          <w:b/>
          <w:bCs/>
          <w:sz w:val="32"/>
        </w:rPr>
      </w:pPr>
      <w:r>
        <w:rPr>
          <w:rFonts w:hint="eastAsia" w:ascii="宋体" w:hAnsi="宋体" w:cs="宋体"/>
          <w:b/>
          <w:bCs/>
          <w:sz w:val="32"/>
        </w:rPr>
        <w:t xml:space="preserve">（全流程电子化不见面采购）</w:t>
      </w:r>
      <w:r>
        <w:rPr>
          <w:rFonts w:hint="eastAsia" w:ascii="宋体" w:hAnsi="宋体" w:cs="宋体"/>
          <w:b/>
          <w:bCs/>
          <w:sz w:val="32"/>
        </w:rPr>
      </w:r>
      <w:r/>
    </w:p>
    <w:p>
      <w:pPr>
        <w:pStyle w:val="851"/>
        <w:ind w:firstLine="479"/>
        <w:rPr>
          <w:rFonts w:hint="eastAsia" w:ascii="宋体" w:hAnsi="宋体" w:cs="宋体"/>
          <w:b/>
          <w:bCs/>
          <w:sz w:val="32"/>
        </w:rPr>
      </w:pPr>
      <w:r>
        <w:rPr>
          <w:rFonts w:hint="eastAsia" w:ascii="宋体" w:hAnsi="宋体" w:cs="宋体"/>
          <w:b/>
          <w:bCs/>
          <w:sz w:val="32"/>
        </w:rPr>
      </w:r>
      <w:r/>
    </w:p>
    <w:p>
      <w:pPr>
        <w:pStyle w:val="851"/>
        <w:ind w:firstLine="0"/>
        <w:jc w:val="both"/>
        <w:rPr>
          <w:rFonts w:hint="eastAsia" w:ascii="宋体" w:hAnsi="宋体" w:cs="宋体"/>
          <w:b/>
          <w:bCs/>
          <w:sz w:val="32"/>
        </w:rPr>
      </w:pPr>
      <w:r>
        <w:rPr>
          <w:rFonts w:hint="eastAsia" w:ascii="宋体" w:hAnsi="宋体" w:cs="宋体"/>
          <w:b/>
          <w:bCs/>
          <w:sz w:val="32"/>
        </w:rPr>
      </w:r>
      <w:r/>
    </w:p>
    <w:p>
      <w:pPr>
        <w:pStyle w:val="851"/>
        <w:ind w:firstLine="0"/>
        <w:jc w:val="center"/>
        <w:rPr>
          <w:rFonts w:hint="eastAsia" w:ascii="宋体" w:hAnsi="宋体" w:cs="宋体"/>
          <w:b/>
          <w:bCs/>
          <w:sz w:val="32"/>
        </w:rPr>
      </w:pPr>
      <w:r>
        <w:rPr>
          <w:rFonts w:hint="eastAsia" w:ascii="宋体" w:hAnsi="宋体" w:cs="宋体"/>
          <w:b/>
          <w:bCs/>
          <w:sz w:val="32"/>
        </w:rPr>
        <w:t xml:space="preserve">采购人：泰州市卫生健康委员会</w:t>
      </w:r>
      <w:r>
        <w:rPr>
          <w:rFonts w:hint="eastAsia" w:ascii="宋体" w:hAnsi="宋体" w:cs="宋体"/>
          <w:b/>
          <w:bCs/>
          <w:sz w:val="32"/>
        </w:rPr>
      </w:r>
      <w:r/>
    </w:p>
    <w:p>
      <w:pPr>
        <w:pStyle w:val="851"/>
        <w:ind w:firstLine="0"/>
        <w:jc w:val="both"/>
        <w:rPr>
          <w:rFonts w:hint="eastAsia" w:ascii="宋体" w:hAnsi="宋体" w:cs="宋体"/>
          <w:b/>
          <w:bCs/>
          <w:sz w:val="32"/>
        </w:rPr>
      </w:pPr>
      <w:r>
        <w:rPr>
          <w:rFonts w:hint="eastAsia" w:ascii="宋体" w:hAnsi="宋体" w:cs="宋体"/>
          <w:b/>
          <w:bCs/>
          <w:sz w:val="32"/>
        </w:rPr>
      </w:r>
      <w:r/>
    </w:p>
    <w:p>
      <w:pPr>
        <w:pStyle w:val="851"/>
        <w:ind w:firstLine="0"/>
        <w:jc w:val="center"/>
        <w:rPr>
          <w:rFonts w:hint="eastAsia" w:ascii="宋体" w:hAnsi="宋体" w:cs="宋体"/>
          <w:b/>
          <w:bCs/>
          <w:sz w:val="32"/>
        </w:rPr>
      </w:pPr>
      <w:r>
        <w:rPr>
          <w:rFonts w:hint="eastAsia" w:ascii="宋体" w:hAnsi="宋体" w:cs="宋体"/>
          <w:b/>
          <w:bCs/>
          <w:sz w:val="32"/>
        </w:rPr>
        <w:t xml:space="preserve">代理机构：江苏经纬会计师事务所有限公司</w:t>
      </w:r>
      <w:r>
        <w:rPr>
          <w:rFonts w:hint="eastAsia" w:ascii="宋体" w:hAnsi="宋体" w:cs="宋体"/>
          <w:b/>
          <w:bCs/>
          <w:sz w:val="32"/>
        </w:rPr>
      </w:r>
      <w:r/>
    </w:p>
    <w:p>
      <w:pPr>
        <w:pStyle w:val="851"/>
        <w:ind w:firstLine="0"/>
        <w:jc w:val="center"/>
        <w:rPr>
          <w:rFonts w:hint="eastAsia" w:ascii="宋体" w:hAnsi="宋体" w:cs="宋体"/>
          <w:b/>
          <w:bCs/>
          <w:sz w:val="32"/>
        </w:rPr>
      </w:pPr>
      <w:r>
        <w:rPr>
          <w:rFonts w:hint="eastAsia" w:ascii="宋体" w:hAnsi="宋体" w:cs="宋体"/>
          <w:b/>
          <w:bCs/>
          <w:sz w:val="32"/>
        </w:rPr>
      </w:r>
      <w:r/>
    </w:p>
    <w:p>
      <w:pPr>
        <w:pStyle w:val="851"/>
        <w:ind w:firstLine="0"/>
        <w:jc w:val="center"/>
        <w:rPr>
          <w:rFonts w:hint="eastAsia" w:ascii="宋体" w:hAnsi="宋体" w:cs="宋体"/>
          <w:b/>
          <w:bCs/>
          <w:sz w:val="32"/>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sz w:val="32"/>
        </w:rPr>
        <w:t xml:space="preserve">2025年11月</w:t>
      </w:r>
      <w:r>
        <w:rPr>
          <w:rFonts w:hint="eastAsia" w:ascii="宋体" w:hAnsi="宋体" w:cs="宋体"/>
          <w:b/>
          <w:bCs/>
          <w:sz w:val="32"/>
        </w:rPr>
      </w:r>
      <w:r/>
    </w:p>
    <w:p>
      <w:pPr>
        <w:pStyle w:val="797"/>
        <w:jc w:val="center"/>
        <w:spacing w:line="360" w:lineRule="auto"/>
        <w:rPr>
          <w:rFonts w:hint="eastAsia" w:ascii="宋体" w:hAnsi="宋体" w:cs="宋体"/>
          <w:b/>
          <w:bCs/>
          <w:sz w:val="24"/>
        </w:rPr>
      </w:pPr>
      <w:r>
        <w:rPr>
          <w:rFonts w:hint="eastAsia" w:ascii="宋体" w:hAnsi="宋体" w:cs="宋体"/>
          <w:b/>
          <w:bCs/>
          <w:sz w:val="24"/>
        </w:rPr>
      </w:r>
      <w:r/>
    </w:p>
    <w:p>
      <w:pPr>
        <w:pStyle w:val="797"/>
        <w:jc w:val="center"/>
        <w:spacing w:line="360" w:lineRule="auto"/>
        <w:rPr>
          <w:rFonts w:hint="eastAsia" w:ascii="宋体" w:hAnsi="宋体" w:cs="宋体"/>
          <w:b/>
          <w:bCs/>
          <w:sz w:val="30"/>
          <w:szCs w:val="30"/>
        </w:rPr>
      </w:pPr>
      <w:r>
        <w:rPr>
          <w:rFonts w:hint="eastAsia" w:ascii="宋体" w:hAnsi="宋体" w:cs="宋体"/>
          <w:b/>
          <w:bCs/>
          <w:sz w:val="30"/>
          <w:szCs w:val="30"/>
        </w:rPr>
        <w:t xml:space="preserve">目  录</w:t>
      </w:r>
      <w:r>
        <w:rPr>
          <w:rFonts w:hint="eastAsia" w:ascii="宋体" w:hAnsi="宋体" w:cs="宋体"/>
          <w:b/>
          <w:bCs/>
          <w:sz w:val="30"/>
          <w:szCs w:val="30"/>
        </w:rPr>
      </w:r>
      <w:r/>
    </w:p>
    <w:p>
      <w:pPr>
        <w:pStyle w:val="852"/>
        <w:spacing w:line="480" w:lineRule="auto"/>
        <w:tabs>
          <w:tab w:val="right" w:pos="8306" w:leader="dot"/>
        </w:tabs>
        <w:rPr>
          <w:rFonts w:hint="eastAsia" w:ascii="宋体" w:hAnsi="宋体" w:cs="宋体"/>
          <w:b/>
          <w:bCs/>
          <w:sz w:val="24"/>
          <w:szCs w:val="24"/>
        </w:rPr>
      </w:pPr>
      <w:r>
        <w:rPr>
          <w:rFonts w:hint="eastAsia" w:ascii="宋体" w:hAnsi="宋体" w:cs="宋体"/>
          <w:b/>
          <w:bCs/>
          <w:sz w:val="24"/>
          <w:szCs w:val="24"/>
        </w:rPr>
      </w:r>
      <w:r/>
    </w:p>
    <w:p>
      <w:pPr>
        <w:pStyle w:val="832"/>
        <w:spacing w:line="480" w:lineRule="auto"/>
        <w:tabs>
          <w:tab w:val="right" w:pos="8306" w:leader="dot"/>
        </w:tabs>
        <w:rPr>
          <w:rFonts w:hint="eastAsia" w:ascii="宋体" w:hAnsi="宋体" w:eastAsia="宋体" w:cs="宋体"/>
          <w:sz w:val="24"/>
          <w:szCs w:val="24"/>
        </w:rPr>
      </w:pP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TOC \o "1-1" \h \u </w:instrText>
      </w:r>
      <w:r>
        <w:rPr>
          <w:rFonts w:hint="eastAsia" w:ascii="宋体" w:hAnsi="宋体" w:eastAsia="宋体" w:cs="宋体"/>
          <w:b w:val="0"/>
          <w:bCs w:val="0"/>
          <w:sz w:val="24"/>
          <w:szCs w:val="24"/>
        </w:rPr>
        <w:fldChar w:fldCharType="separate"/>
      </w: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_Toc18658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 xml:space="preserve">第一章  竞争性磋商公告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_Toc18658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r>
        <w:rPr>
          <w:rFonts w:hint="eastAsia" w:ascii="宋体" w:hAnsi="宋体" w:eastAsia="宋体" w:cs="宋体"/>
          <w:sz w:val="24"/>
          <w:szCs w:val="24"/>
        </w:rPr>
      </w:r>
      <w:r/>
    </w:p>
    <w:p>
      <w:pPr>
        <w:pStyle w:val="832"/>
        <w:spacing w:line="480" w:lineRule="auto"/>
        <w:tabs>
          <w:tab w:val="right" w:pos="8306" w:leader="dot"/>
        </w:tabs>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_Toc28832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 xml:space="preserve">第二章  参加磋商供应商须知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_Toc28832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r>
        <w:rPr>
          <w:rFonts w:hint="eastAsia" w:ascii="宋体" w:hAnsi="宋体" w:eastAsia="宋体" w:cs="宋体"/>
          <w:sz w:val="24"/>
          <w:szCs w:val="24"/>
        </w:rPr>
      </w:r>
      <w:r/>
    </w:p>
    <w:p>
      <w:pPr>
        <w:pStyle w:val="832"/>
        <w:spacing w:line="480" w:lineRule="auto"/>
        <w:tabs>
          <w:tab w:val="right" w:pos="8306" w:leader="dot"/>
        </w:tabs>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_Toc6129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 xml:space="preserve">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_Toc6129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r>
        <w:rPr>
          <w:rFonts w:hint="eastAsia" w:ascii="宋体" w:hAnsi="宋体" w:eastAsia="宋体" w:cs="宋体"/>
          <w:sz w:val="24"/>
          <w:szCs w:val="24"/>
        </w:rPr>
      </w:r>
      <w:r/>
    </w:p>
    <w:p>
      <w:pPr>
        <w:pStyle w:val="832"/>
        <w:spacing w:line="480" w:lineRule="auto"/>
        <w:tabs>
          <w:tab w:val="right" w:pos="8306" w:leader="dot"/>
        </w:tabs>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_Toc32273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 xml:space="preserve">第四章  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_Toc32273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21</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r>
        <w:rPr>
          <w:rFonts w:hint="eastAsia" w:ascii="宋体" w:hAnsi="宋体" w:eastAsia="宋体" w:cs="宋体"/>
          <w:sz w:val="24"/>
          <w:szCs w:val="24"/>
        </w:rPr>
      </w:r>
      <w:r/>
    </w:p>
    <w:p>
      <w:pPr>
        <w:pStyle w:val="832"/>
        <w:spacing w:line="480" w:lineRule="auto"/>
        <w:tabs>
          <w:tab w:val="right" w:pos="8306" w:leader="dot"/>
        </w:tabs>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_Toc20588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 xml:space="preserve">第五章  评审方法和评审标准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_Toc20588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23</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r>
        <w:rPr>
          <w:rFonts w:hint="eastAsia" w:ascii="宋体" w:hAnsi="宋体" w:eastAsia="宋体" w:cs="宋体"/>
          <w:sz w:val="24"/>
          <w:szCs w:val="24"/>
        </w:rPr>
      </w:r>
      <w:r/>
    </w:p>
    <w:p>
      <w:pPr>
        <w:pStyle w:val="832"/>
        <w:spacing w:line="480" w:lineRule="auto"/>
        <w:tabs>
          <w:tab w:val="right" w:pos="8306" w:leader="dot"/>
        </w:tabs>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_Toc16471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 xml:space="preserve">第六章  响应文件的组成和格式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_Toc16471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25</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r>
        <w:rPr>
          <w:rFonts w:hint="eastAsia" w:ascii="宋体" w:hAnsi="宋体" w:eastAsia="宋体" w:cs="宋体"/>
          <w:sz w:val="24"/>
          <w:szCs w:val="24"/>
        </w:rPr>
      </w:r>
      <w:r/>
    </w:p>
    <w:p>
      <w:pPr>
        <w:pStyle w:val="851"/>
        <w:ind w:firstLine="0"/>
        <w:jc w:val="center"/>
        <w:spacing w:before="0" w:after="0" w:line="480" w:lineRule="auto"/>
        <w:rPr>
          <w:rFonts w:hint="eastAsia" w:ascii="宋体" w:hAnsi="宋体" w:cs="宋体"/>
          <w:b/>
          <w:bCs/>
          <w:sz w:val="32"/>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Cs/>
          <w:szCs w:val="24"/>
        </w:rPr>
        <w:fldChar w:fldCharType="end"/>
      </w:r>
      <w:r>
        <w:rPr>
          <w:rFonts w:hint="eastAsia" w:ascii="宋体" w:hAnsi="宋体" w:cs="宋体"/>
          <w:b/>
          <w:bCs/>
          <w:sz w:val="32"/>
        </w:rPr>
      </w:r>
      <w:r/>
    </w:p>
    <w:p>
      <w:pPr>
        <w:pStyle w:val="798"/>
        <w:numPr>
          <w:ilvl w:val="0"/>
          <w:numId w:val="4"/>
        </w:numPr>
        <w:jc w:val="center"/>
        <w:tabs>
          <w:tab w:val="left" w:pos="420" w:leader="none"/>
        </w:tabs>
        <w:rPr>
          <w:rFonts w:hint="eastAsia" w:ascii="宋体" w:hAnsi="宋体" w:cs="宋体"/>
          <w:sz w:val="24"/>
          <w:szCs w:val="24"/>
        </w:rPr>
      </w:pPr>
      <w:r/>
      <w:bookmarkStart w:id="0" w:name="_Toc18658"/>
      <w:r>
        <w:rPr>
          <w:rFonts w:hint="eastAsia" w:ascii="宋体" w:hAnsi="宋体" w:cs="宋体"/>
          <w:sz w:val="24"/>
          <w:szCs w:val="24"/>
        </w:rPr>
        <w:t xml:space="preserve">竞争性磋商公告</w:t>
      </w:r>
      <w:bookmarkEnd w:id="0"/>
      <w:r>
        <w:rPr>
          <w:rFonts w:hint="eastAsia" w:ascii="宋体" w:hAnsi="宋体" w:cs="宋体"/>
          <w:sz w:val="24"/>
          <w:szCs w:val="24"/>
        </w:rPr>
      </w:r>
      <w:r/>
    </w:p>
    <w:p>
      <w:pPr>
        <w:pStyle w:val="797"/>
        <w:rPr>
          <w:rFonts w:hint="eastAsia"/>
        </w:rPr>
      </w:pPr>
      <w:r>
        <w:rPr>
          <w:rFonts w:hint="eastAsia"/>
        </w:rPr>
      </w:r>
      <w:r/>
    </w:p>
    <w:p>
      <w:pPr>
        <w:pStyle w:val="797"/>
        <w:spacing w:line="48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bookmarkStart w:id="1" w:name="_Toc61149549"/>
      <w:r/>
      <w:bookmarkStart w:id="2" w:name="_Toc513029209"/>
      <w:r/>
      <w:bookmarkStart w:id="3" w:name="_Toc14577347"/>
      <w:r>
        <w:rPr>
          <w:rFonts w:hint="eastAsia" w:ascii="宋体" w:hAnsi="宋体" w:cs="宋体"/>
          <w:sz w:val="24"/>
          <w:szCs w:val="24"/>
        </w:rPr>
        <w:t xml:space="preserve">项目概况</w:t>
      </w:r>
      <w:r>
        <w:rPr>
          <w:rFonts w:hint="eastAsia" w:ascii="宋体" w:hAnsi="宋体" w:cs="宋体"/>
          <w:sz w:val="24"/>
          <w:szCs w:val="24"/>
        </w:rPr>
      </w:r>
      <w:r/>
    </w:p>
    <w:p>
      <w:pPr>
        <w:pStyle w:val="797"/>
        <w:ind w:firstLine="540"/>
        <w:spacing w:line="480" w:lineRule="auto"/>
        <w:rPr>
          <w:rFonts w:hint="eastAsia" w:ascii="宋体" w:hAnsi="宋体" w:cs="宋体"/>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Cs/>
          <w:spacing w:val="15"/>
          <w:sz w:val="24"/>
          <w:szCs w:val="24"/>
          <w:u w:val="single"/>
        </w:rPr>
        <w:t xml:space="preserve">2026年度泰州市区计划生育特殊困难家庭对象住院护理保险项目</w:t>
      </w:r>
      <w:r>
        <w:rPr>
          <w:rFonts w:hint="eastAsia" w:ascii="宋体" w:hAnsi="宋体" w:cs="宋体"/>
          <w:bCs/>
          <w:sz w:val="24"/>
          <w:szCs w:val="24"/>
        </w:rPr>
        <w:t xml:space="preserve">的潜在供应商应在</w:t>
      </w:r>
      <w:r>
        <w:rPr>
          <w:rFonts w:hint="eastAsia" w:ascii="宋体" w:hAnsi="宋体" w:cs="宋体"/>
          <w:bCs/>
          <w:sz w:val="24"/>
          <w:szCs w:val="24"/>
          <w:u w:val="single"/>
        </w:rPr>
        <w:t xml:space="preserve">“苏采云”政府采购一体化平台</w:t>
      </w:r>
      <w:r>
        <w:rPr>
          <w:rFonts w:hint="eastAsia" w:ascii="宋体" w:hAnsi="宋体" w:cs="宋体"/>
          <w:bCs/>
          <w:sz w:val="24"/>
          <w:szCs w:val="24"/>
        </w:rPr>
        <w:t xml:space="preserve">获取采购文件，并于2025</w:t>
      </w:r>
      <w:r>
        <w:rPr>
          <w:rFonts w:hint="eastAsia" w:ascii="宋体" w:hAnsi="宋体" w:cs="宋体"/>
          <w:bCs/>
          <w:sz w:val="24"/>
          <w:szCs w:val="24"/>
          <w:u w:val="single"/>
        </w:rPr>
        <w:t xml:space="preserve">年1</w:t>
      </w:r>
      <w:r>
        <w:rPr>
          <w:rFonts w:hint="eastAsia" w:ascii="宋体" w:hAnsi="宋体" w:cs="宋体"/>
          <w:bCs/>
          <w:sz w:val="24"/>
          <w:szCs w:val="24"/>
          <w:u w:val="single"/>
          <w:lang w:val="en-US" w:eastAsia="zh-CN"/>
        </w:rPr>
        <w:t xml:space="preserve">2</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29</w:t>
      </w:r>
      <w:r>
        <w:rPr>
          <w:rFonts w:hint="eastAsia" w:ascii="宋体" w:hAnsi="宋体" w:cs="宋体"/>
          <w:bCs/>
          <w:sz w:val="24"/>
          <w:szCs w:val="24"/>
          <w:u w:val="single"/>
        </w:rPr>
        <w:t xml:space="preserve">日</w:t>
      </w:r>
      <w:r>
        <w:rPr>
          <w:rFonts w:hint="eastAsia" w:ascii="宋体" w:hAnsi="宋体" w:cs="宋体"/>
          <w:bCs/>
          <w:sz w:val="24"/>
          <w:szCs w:val="24"/>
          <w:u w:val="single"/>
          <w:lang w:val="en-US" w:eastAsia="zh-CN"/>
        </w:rPr>
        <w:t xml:space="preserve">09：0</w:t>
      </w:r>
      <w:r>
        <w:rPr>
          <w:rFonts w:hint="eastAsia" w:ascii="宋体" w:hAnsi="宋体" w:cs="宋体"/>
          <w:bCs/>
          <w:sz w:val="24"/>
          <w:szCs w:val="24"/>
          <w:u w:val="single"/>
        </w:rPr>
        <w:t xml:space="preserve">0整</w:t>
      </w:r>
      <w:r>
        <w:rPr>
          <w:rFonts w:hint="eastAsia" w:ascii="宋体" w:hAnsi="宋体" w:cs="宋体"/>
          <w:bCs/>
          <w:sz w:val="24"/>
          <w:szCs w:val="24"/>
        </w:rPr>
        <w:t xml:space="preserve">（北京时间）前提交响应文件。</w:t>
      </w:r>
      <w:r>
        <w:rPr>
          <w:rFonts w:hint="eastAsia" w:ascii="宋体" w:hAnsi="宋体" w:cs="宋体"/>
          <w:bCs/>
          <w:sz w:val="24"/>
          <w:szCs w:val="24"/>
        </w:rPr>
      </w:r>
      <w:r/>
    </w:p>
    <w:p>
      <w:pPr>
        <w:pStyle w:val="799"/>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bookmarkStart w:id="4" w:name="_Toc28359012"/>
      <w:r/>
      <w:bookmarkStart w:id="5" w:name="_Toc28359089"/>
      <w:r/>
      <w:bookmarkStart w:id="6" w:name="_Toc35393629"/>
      <w:r/>
      <w:bookmarkStart w:id="7" w:name="_Toc35393798"/>
      <w:r>
        <w:rPr>
          <w:rFonts w:hint="eastAsia" w:ascii="宋体" w:hAnsi="宋体" w:eastAsia="宋体" w:cs="宋体"/>
          <w:sz w:val="24"/>
          <w:szCs w:val="24"/>
        </w:rPr>
        <w:t xml:space="preserve">一、项目基本情况</w:t>
      </w:r>
      <w:bookmarkEnd w:id="4"/>
      <w:r/>
      <w:bookmarkEnd w:id="5"/>
      <w:r/>
      <w:bookmarkEnd w:id="6"/>
      <w:r/>
      <w:bookmarkEnd w:id="7"/>
      <w:r>
        <w:rPr>
          <w:rFonts w:hint="eastAsia" w:ascii="宋体" w:hAnsi="宋体" w:eastAsia="宋体" w:cs="宋体"/>
          <w:sz w:val="24"/>
          <w:szCs w:val="24"/>
        </w:rPr>
      </w:r>
      <w:r/>
    </w:p>
    <w:p>
      <w:pPr>
        <w:pStyle w:val="797"/>
        <w:ind w:firstLine="482"/>
        <w:spacing w:line="480" w:lineRule="auto"/>
        <w:rPr>
          <w:rFonts w:hint="eastAsia" w:ascii="宋体" w:hAnsi="宋体" w:cs="宋体"/>
          <w:sz w:val="24"/>
          <w:szCs w:val="24"/>
        </w:rPr>
      </w:pPr>
      <w:r>
        <w:rPr>
          <w:rFonts w:hint="eastAsia" w:ascii="宋体" w:hAnsi="宋体" w:cs="宋体"/>
          <w:b/>
          <w:bCs/>
          <w:sz w:val="24"/>
          <w:szCs w:val="24"/>
        </w:rPr>
        <w:t xml:space="preserve">项目编号：</w:t>
      </w:r>
      <w:r>
        <w:rPr>
          <w:rFonts w:hint="eastAsia" w:ascii="宋体" w:hAnsi="宋体" w:cs="宋体"/>
          <w:b w:val="0"/>
          <w:bCs w:val="0"/>
          <w:sz w:val="24"/>
          <w:szCs w:val="24"/>
        </w:rPr>
        <w:t xml:space="preserve">JSZC-321200-JWKJ-C2025-0029</w:t>
      </w:r>
      <w:r>
        <w:rPr>
          <w:rFonts w:hint="eastAsia" w:ascii="宋体" w:hAnsi="宋体" w:cs="宋体"/>
          <w:sz w:val="24"/>
          <w:szCs w:val="24"/>
        </w:rPr>
      </w:r>
      <w:r/>
    </w:p>
    <w:p>
      <w:pPr>
        <w:pStyle w:val="797"/>
        <w:ind w:firstLine="482"/>
        <w:spacing w:line="480" w:lineRule="auto"/>
        <w:rPr>
          <w:rFonts w:hint="eastAsia" w:ascii="宋体" w:hAnsi="宋体" w:cs="宋体"/>
          <w:sz w:val="24"/>
          <w:szCs w:val="24"/>
        </w:rPr>
      </w:pPr>
      <w:r>
        <w:rPr>
          <w:rFonts w:hint="eastAsia" w:ascii="宋体" w:hAnsi="宋体" w:cs="宋体"/>
          <w:b/>
          <w:bCs/>
          <w:sz w:val="24"/>
          <w:szCs w:val="24"/>
        </w:rPr>
        <w:t xml:space="preserve">项目名称：</w:t>
      </w:r>
      <w:r>
        <w:rPr>
          <w:rFonts w:hint="eastAsia" w:ascii="宋体" w:hAnsi="宋体" w:cs="宋体"/>
          <w:sz w:val="24"/>
          <w:szCs w:val="24"/>
        </w:rPr>
        <w:t xml:space="preserve">2026年度泰州市区计划生育特殊困难家庭对象住院护理保险项目</w:t>
      </w:r>
      <w:r>
        <w:rPr>
          <w:rFonts w:hint="eastAsia" w:ascii="宋体" w:hAnsi="宋体" w:cs="宋体"/>
          <w:sz w:val="24"/>
          <w:szCs w:val="24"/>
        </w:rPr>
      </w:r>
      <w:r/>
    </w:p>
    <w:p>
      <w:pPr>
        <w:pStyle w:val="850"/>
        <w:ind w:firstLine="482"/>
        <w:spacing w:line="480" w:lineRule="auto"/>
        <w:rPr>
          <w:rFonts w:hint="eastAsia" w:ascii="宋体" w:hAnsi="宋体" w:cs="宋体"/>
          <w:b/>
          <w:bCs/>
          <w:sz w:val="24"/>
        </w:rPr>
      </w:pPr>
      <w:r>
        <w:rPr>
          <w:rFonts w:hint="eastAsia" w:ascii="宋体" w:hAnsi="宋体" w:cs="宋体"/>
          <w:b/>
          <w:bCs/>
          <w:sz w:val="24"/>
        </w:rPr>
        <w:t xml:space="preserve">预算：</w:t>
      </w:r>
      <w:r>
        <w:rPr>
          <w:rFonts w:hint="eastAsia" w:ascii="宋体" w:hAnsi="宋体" w:cs="宋体"/>
          <w:sz w:val="24"/>
        </w:rPr>
        <w:t xml:space="preserve">138.25万元</w:t>
      </w:r>
      <w:r>
        <w:rPr>
          <w:rFonts w:hint="eastAsia" w:ascii="宋体" w:hAnsi="宋体" w:cs="宋体"/>
          <w:b/>
          <w:bCs/>
          <w:sz w:val="24"/>
        </w:rPr>
      </w:r>
      <w:r/>
    </w:p>
    <w:p>
      <w:pPr>
        <w:pStyle w:val="850"/>
        <w:ind w:firstLine="482"/>
        <w:spacing w:line="480" w:lineRule="auto"/>
        <w:rPr>
          <w:rFonts w:hint="eastAsia" w:ascii="宋体" w:hAnsi="宋体" w:cs="宋体"/>
          <w:b/>
          <w:bCs/>
          <w:sz w:val="24"/>
        </w:rPr>
      </w:pPr>
      <w:r>
        <w:rPr>
          <w:rFonts w:hint="eastAsia" w:ascii="宋体" w:hAnsi="宋体" w:cs="宋体"/>
          <w:b/>
          <w:bCs/>
          <w:sz w:val="24"/>
        </w:rPr>
        <w:t xml:space="preserve">最高限价：</w:t>
      </w:r>
      <w:r>
        <w:rPr>
          <w:rFonts w:hint="eastAsia" w:ascii="宋体" w:hAnsi="宋体" w:cs="宋体"/>
          <w:sz w:val="24"/>
        </w:rPr>
        <w:t xml:space="preserve">单价限价395元/人</w:t>
      </w:r>
      <w:r>
        <w:rPr>
          <w:rFonts w:hint="eastAsia" w:ascii="宋体" w:hAnsi="宋体" w:cs="宋体"/>
          <w:b/>
          <w:bCs/>
          <w:sz w:val="24"/>
        </w:rPr>
      </w:r>
      <w:r/>
    </w:p>
    <w:p>
      <w:pPr>
        <w:pStyle w:val="850"/>
        <w:ind w:firstLine="482"/>
        <w:spacing w:line="480" w:lineRule="auto"/>
        <w:rPr>
          <w:rFonts w:hint="eastAsia" w:ascii="宋体" w:hAnsi="宋体" w:cs="宋体"/>
          <w:sz w:val="24"/>
        </w:rPr>
      </w:pPr>
      <w:r>
        <w:rPr>
          <w:rFonts w:hint="eastAsia" w:ascii="宋体" w:hAnsi="宋体" w:cs="宋体"/>
          <w:b/>
          <w:bCs/>
          <w:sz w:val="24"/>
        </w:rPr>
        <w:t xml:space="preserve">采购方式：</w:t>
      </w:r>
      <w:r>
        <w:rPr>
          <w:rFonts w:hint="eastAsia" w:ascii="宋体" w:hAnsi="宋体" w:cs="宋体"/>
          <w:sz w:val="24"/>
        </w:rPr>
        <w:t xml:space="preserve">竞争性磋商</w:t>
      </w:r>
      <w:r>
        <w:rPr>
          <w:rFonts w:hint="eastAsia" w:ascii="宋体" w:hAnsi="宋体" w:cs="宋体"/>
          <w:sz w:val="24"/>
        </w:rPr>
      </w:r>
      <w:r/>
    </w:p>
    <w:p>
      <w:pPr>
        <w:pStyle w:val="797"/>
        <w:ind w:firstLine="482"/>
        <w:spacing w:line="480" w:lineRule="auto"/>
        <w:rPr>
          <w:rFonts w:hint="eastAsia"/>
        </w:rPr>
      </w:pPr>
      <w:r>
        <w:rPr>
          <w:rFonts w:hint="eastAsia" w:ascii="宋体" w:hAnsi="宋体" w:cs="宋体"/>
          <w:b/>
          <w:bCs/>
          <w:sz w:val="24"/>
          <w:szCs w:val="24"/>
        </w:rPr>
        <w:t xml:space="preserve">采购需求：</w:t>
      </w:r>
      <w:r>
        <w:rPr>
          <w:rFonts w:hint="eastAsia" w:ascii="宋体" w:hAnsi="宋体" w:cs="宋体"/>
          <w:sz w:val="24"/>
          <w:szCs w:val="24"/>
        </w:rPr>
        <w:t xml:space="preserve">本项目预算单价限价395元/人，预测2026年度海陵区、高新（高港）区范围内共有计划生育特殊困难家庭对象3500人，最后按实际人数结算。采购方代表被保险人员统一向成交供应商投保。单价超过限价的为无效报价，按照无效投标处理。</w:t>
      </w:r>
      <w:r>
        <w:rPr>
          <w:rFonts w:hint="eastAsia"/>
        </w:rPr>
      </w:r>
      <w:r/>
    </w:p>
    <w:p>
      <w:pPr>
        <w:pStyle w:val="797"/>
        <w:ind w:firstLine="482"/>
        <w:jc w:val="left"/>
        <w:spacing w:line="480" w:lineRule="auto"/>
        <w:widowControl/>
        <w:rPr>
          <w:rFonts w:ascii="宋体" w:hAnsi="宋体" w:cs="宋体"/>
          <w:b/>
          <w:sz w:val="24"/>
          <w:szCs w:val="24"/>
        </w:rPr>
      </w:pPr>
      <w:r>
        <w:rPr>
          <w:rFonts w:hint="eastAsia" w:ascii="宋体" w:hAnsi="宋体" w:cs="宋体"/>
          <w:b/>
          <w:bCs/>
          <w:sz w:val="24"/>
          <w:szCs w:val="24"/>
        </w:rPr>
        <w:t xml:space="preserve">合同履行期限：</w:t>
      </w:r>
      <w:r>
        <w:rPr>
          <w:rFonts w:hint="eastAsia" w:ascii="宋体" w:hAnsi="宋体" w:cs="宋体"/>
          <w:sz w:val="24"/>
          <w:szCs w:val="24"/>
        </w:rPr>
        <w:t xml:space="preserve">2026年1月1日零时至2026年12月31日24时</w:t>
      </w:r>
      <w:r>
        <w:rPr>
          <w:rFonts w:ascii="宋体" w:hAnsi="宋体" w:cs="宋体"/>
          <w:b/>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rPr>
        <w:t xml:space="preserve">本项目不接受联合体投标</w:t>
      </w:r>
      <w:r>
        <w:rPr>
          <w:rFonts w:hint="eastAsia" w:ascii="宋体" w:hAnsi="宋体" w:cs="宋体"/>
          <w:sz w:val="24"/>
          <w:szCs w:val="24"/>
        </w:rPr>
      </w:r>
      <w:r/>
    </w:p>
    <w:p>
      <w:pPr>
        <w:pStyle w:val="799"/>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bookmarkStart w:id="8" w:name="_Toc28359090"/>
      <w:r/>
      <w:bookmarkStart w:id="9" w:name="_Toc35393799"/>
      <w:r/>
      <w:bookmarkStart w:id="10" w:name="_Toc35393630"/>
      <w:r/>
      <w:bookmarkStart w:id="11" w:name="_Toc28359013"/>
      <w:r>
        <w:rPr>
          <w:rFonts w:hint="eastAsia" w:ascii="宋体" w:hAnsi="宋体" w:eastAsia="宋体" w:cs="宋体"/>
          <w:sz w:val="24"/>
          <w:szCs w:val="24"/>
        </w:rPr>
        <w:t xml:space="preserve">二、申请人的资格要求：</w:t>
      </w:r>
      <w:bookmarkEnd w:id="8"/>
      <w:r/>
      <w:bookmarkEnd w:id="9"/>
      <w:r/>
      <w:bookmarkEnd w:id="10"/>
      <w:r/>
      <w:bookmarkEnd w:id="11"/>
      <w:r>
        <w:rPr>
          <w:rFonts w:hint="eastAsia" w:ascii="宋体" w:hAnsi="宋体" w:eastAsia="宋体" w:cs="宋体"/>
          <w:sz w:val="24"/>
          <w:szCs w:val="24"/>
        </w:rPr>
      </w:r>
      <w:r/>
    </w:p>
    <w:p>
      <w:pPr>
        <w:pStyle w:val="797"/>
        <w:ind w:firstLine="480"/>
        <w:spacing w:line="480" w:lineRule="auto"/>
        <w:rPr>
          <w:rFonts w:hint="eastAsia" w:ascii="宋体" w:hAnsi="宋体" w:cs="宋体"/>
          <w:sz w:val="24"/>
          <w:szCs w:val="24"/>
        </w:rPr>
      </w:pPr>
      <w:r/>
      <w:bookmarkStart w:id="12" w:name="_Toc35393800"/>
      <w:r/>
      <w:bookmarkStart w:id="13" w:name="_Toc35393631"/>
      <w:r/>
      <w:bookmarkStart w:id="14" w:name="_Toc28359014"/>
      <w:r/>
      <w:bookmarkStart w:id="15" w:name="_Toc28359091"/>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797"/>
        <w:ind w:firstLine="480"/>
        <w:spacing w:line="480" w:lineRule="auto"/>
        <w:rPr>
          <w:rFonts w:hint="eastAsia" w:ascii="宋体" w:hAnsi="宋体" w:cs="宋体"/>
          <w:sz w:val="24"/>
          <w:szCs w:val="24"/>
          <w:lang w:val="zh-CN"/>
        </w:rPr>
      </w:pPr>
      <w:r>
        <w:rPr>
          <w:rFonts w:hint="eastAsia" w:ascii="宋体" w:hAnsi="宋体" w:cs="宋体"/>
          <w:sz w:val="24"/>
          <w:szCs w:val="24"/>
          <w:lang w:val="zh-CN"/>
        </w:rPr>
        <w:t xml:space="preserve">1.具有独立承担民事责任的能力；</w:t>
      </w:r>
      <w:r>
        <w:rPr>
          <w:rFonts w:hint="eastAsia" w:ascii="宋体" w:hAnsi="宋体" w:cs="宋体"/>
          <w:sz w:val="24"/>
          <w:szCs w:val="24"/>
          <w:lang w:val="zh-CN"/>
        </w:rPr>
      </w:r>
      <w:r/>
    </w:p>
    <w:p>
      <w:pPr>
        <w:pStyle w:val="797"/>
        <w:ind w:firstLine="480"/>
        <w:spacing w:line="480" w:lineRule="auto"/>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.具有良好的商业信誉和健全的财务会计制度；</w:t>
      </w:r>
      <w:r>
        <w:rPr>
          <w:rFonts w:hint="eastAsia" w:ascii="宋体" w:hAnsi="宋体" w:cs="宋体"/>
          <w:sz w:val="24"/>
          <w:szCs w:val="24"/>
          <w:lang w:val="zh-CN"/>
        </w:rPr>
      </w:r>
      <w:r/>
    </w:p>
    <w:p>
      <w:pPr>
        <w:pStyle w:val="797"/>
        <w:ind w:firstLine="480"/>
        <w:spacing w:line="480" w:lineRule="auto"/>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.具</w:t>
      </w:r>
      <w:r>
        <w:rPr>
          <w:rFonts w:hint="eastAsia" w:ascii="宋体" w:hAnsi="宋体" w:cs="宋体"/>
          <w:sz w:val="24"/>
          <w:szCs w:val="24"/>
        </w:rPr>
        <w:t xml:space="preserve">有</w:t>
      </w:r>
      <w:r>
        <w:rPr>
          <w:rFonts w:hint="eastAsia" w:ascii="宋体" w:hAnsi="宋体" w:cs="宋体"/>
          <w:sz w:val="24"/>
          <w:szCs w:val="24"/>
          <w:lang w:val="zh-CN"/>
        </w:rPr>
        <w:t xml:space="preserve">履行合同所必需的设备和专业技术能力；</w:t>
      </w:r>
      <w:r>
        <w:rPr>
          <w:rFonts w:hint="eastAsia" w:ascii="宋体" w:hAnsi="宋体" w:cs="宋体"/>
          <w:sz w:val="24"/>
          <w:szCs w:val="24"/>
          <w:lang w:val="zh-CN"/>
        </w:rPr>
      </w:r>
      <w:r/>
    </w:p>
    <w:p>
      <w:pPr>
        <w:pStyle w:val="797"/>
        <w:ind w:firstLine="480"/>
        <w:spacing w:line="480" w:lineRule="auto"/>
        <w:rPr>
          <w:rFonts w:hint="eastAsia"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.有依法缴纳税收和社会保障资金的良好记录；</w:t>
      </w:r>
      <w:r>
        <w:rPr>
          <w:rFonts w:hint="eastAsia" w:ascii="宋体" w:hAnsi="宋体" w:cs="宋体"/>
          <w:sz w:val="24"/>
          <w:szCs w:val="24"/>
          <w:lang w:val="zh-CN"/>
        </w:rPr>
      </w:r>
      <w:r/>
    </w:p>
    <w:p>
      <w:pPr>
        <w:pStyle w:val="797"/>
        <w:ind w:firstLine="480"/>
        <w:spacing w:line="480" w:lineRule="auto"/>
        <w:rPr>
          <w:rFonts w:hint="eastAsia"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.参加政府采购活动前三年内，在经营活动中没有重大违法记录；</w:t>
      </w:r>
      <w:r>
        <w:rPr>
          <w:rFonts w:hint="eastAsia" w:ascii="宋体" w:hAnsi="宋体" w:cs="宋体"/>
          <w:sz w:val="24"/>
          <w:szCs w:val="24"/>
          <w:lang w:val="zh-CN"/>
        </w:rPr>
      </w:r>
      <w:r/>
    </w:p>
    <w:p>
      <w:pPr>
        <w:pStyle w:val="797"/>
        <w:ind w:firstLine="480"/>
        <w:spacing w:line="480" w:lineRule="auto"/>
        <w:rPr>
          <w:rFonts w:hint="eastAsia" w:ascii="宋体" w:hAnsi="宋体" w:cs="宋体"/>
          <w:sz w:val="24"/>
          <w:szCs w:val="24"/>
          <w:lang w:val="zh-CN"/>
        </w:rPr>
      </w:pPr>
      <w:r>
        <w:rPr>
          <w:rFonts w:hint="eastAsia" w:ascii="宋体" w:hAnsi="宋体" w:cs="宋体"/>
          <w:sz w:val="24"/>
          <w:szCs w:val="24"/>
        </w:rPr>
        <w:t xml:space="preserve">6</w:t>
      </w:r>
      <w:r>
        <w:rPr>
          <w:rFonts w:hint="eastAsia" w:ascii="宋体" w:hAnsi="宋体" w:cs="宋体"/>
          <w:sz w:val="24"/>
          <w:szCs w:val="24"/>
          <w:lang w:val="zh-CN"/>
        </w:rPr>
        <w:t xml:space="preserve">.法律、行政法规规定的其他条件：投标人必须是经过国家保险监督管理机构批准的、具有经营人身意外伤害保险业务资格的保险机构。</w:t>
      </w:r>
      <w:r>
        <w:rPr>
          <w:rFonts w:hint="eastAsia" w:ascii="宋体" w:hAnsi="宋体" w:cs="宋体"/>
          <w:sz w:val="24"/>
          <w:szCs w:val="24"/>
          <w:lang w:val="zh-CN"/>
        </w:rPr>
      </w:r>
      <w:r/>
    </w:p>
    <w:p>
      <w:pPr>
        <w:pStyle w:val="797"/>
        <w:numPr>
          <w:ilvl w:val="0"/>
          <w:numId w:val="0"/>
        </w:numPr>
        <w:ind w:firstLine="480"/>
        <w:spacing w:line="480" w:lineRule="auto"/>
        <w:rPr>
          <w:rFonts w:hint="eastAsia" w:ascii="宋体" w:hAnsi="宋体" w:cs="宋体"/>
          <w:sz w:val="24"/>
          <w:szCs w:val="24"/>
          <w:u w:val="single"/>
        </w:rPr>
      </w:pPr>
      <w:r>
        <w:rPr>
          <w:rFonts w:hint="eastAsia" w:ascii="宋体" w:hAnsi="宋体" w:cs="宋体"/>
          <w:sz w:val="24"/>
          <w:szCs w:val="24"/>
          <w:lang w:val="en-US" w:eastAsia="zh-CN" w:bidi="ar-SA"/>
        </w:rPr>
        <w:t xml:space="preserve">（二）</w:t>
      </w:r>
      <w:r>
        <w:rPr>
          <w:rFonts w:hint="eastAsia" w:ascii="宋体" w:hAnsi="宋体" w:cs="宋体"/>
          <w:sz w:val="24"/>
          <w:szCs w:val="24"/>
        </w:rPr>
        <w:t xml:space="preserve">落实政府采购政策需满足的资格要求：本项目属于其他未列明行业，不专门面向中小微企业、监狱企业、残疾人福利性单位，对符合条件的小型和微型企业、残疾人福利性单位、监狱企业给予10%的扣除价格，用扣除后的价格参与评审。</w:t>
      </w:r>
      <w:r>
        <w:rPr>
          <w:rFonts w:hint="eastAsia" w:ascii="宋体" w:hAnsi="宋体" w:cs="宋体"/>
          <w:sz w:val="24"/>
          <w:szCs w:val="24"/>
          <w:u w:val="single"/>
        </w:rPr>
      </w:r>
      <w:r/>
    </w:p>
    <w:p>
      <w:pPr>
        <w:pStyle w:val="797"/>
        <w:numPr>
          <w:ilvl w:val="0"/>
          <w:numId w:val="0"/>
        </w:numPr>
        <w:ind w:firstLine="480"/>
        <w:spacing w:line="480" w:lineRule="auto"/>
        <w:rPr>
          <w:rFonts w:hint="eastAsia" w:ascii="宋体" w:hAnsi="宋体" w:cs="宋体"/>
          <w:sz w:val="24"/>
          <w:szCs w:val="24"/>
        </w:rPr>
      </w:pPr>
      <w:r>
        <w:rPr>
          <w:rFonts w:hint="eastAsia" w:ascii="宋体" w:hAnsi="宋体" w:cs="宋体"/>
          <w:sz w:val="24"/>
          <w:szCs w:val="24"/>
          <w:lang w:val="en-US" w:eastAsia="zh-CN" w:bidi="ar-SA"/>
        </w:rPr>
        <w:t xml:space="preserve">（三）</w:t>
      </w:r>
      <w:r>
        <w:rPr>
          <w:rFonts w:hint="eastAsia" w:ascii="宋体" w:hAnsi="宋体" w:cs="宋体"/>
          <w:sz w:val="24"/>
          <w:szCs w:val="24"/>
        </w:rPr>
        <w:t xml:space="preserve">本项目的特定资格要求：</w:t>
      </w:r>
      <w:r>
        <w:rPr>
          <w:rFonts w:hint="eastAsia" w:ascii="宋体" w:hAnsi="宋体" w:cs="宋体"/>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.未被“信用中国”网站（www.creditchina.gov.cn）列入失信被执行人、重大税收违法案件当事人名单、政府采购严重失信行为记录名单。</w:t>
      </w:r>
      <w:r>
        <w:rPr>
          <w:rFonts w:hint="eastAsia" w:ascii="宋体" w:hAnsi="宋体" w:cs="宋体"/>
          <w:sz w:val="24"/>
          <w:szCs w:val="24"/>
        </w:rPr>
      </w:r>
      <w:r/>
    </w:p>
    <w:p>
      <w:pPr>
        <w:pStyle w:val="799"/>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rPr>
        <w:t xml:space="preserve">拒绝下述供应商参加本次采购活动：</w:t>
      </w:r>
      <w:r>
        <w:rPr>
          <w:rFonts w:hint="eastAsia" w:ascii="宋体" w:hAnsi="宋体" w:eastAsia="宋体" w:cs="宋体"/>
          <w:b w:val="0"/>
          <w:bCs/>
          <w:sz w:val="24"/>
          <w:szCs w:val="24"/>
        </w:rPr>
      </w:r>
      <w:r/>
    </w:p>
    <w:p>
      <w:pPr>
        <w:pStyle w:val="799"/>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.1供应商单位负责人为同一人或者存在直接控股、管理关系的不同供应商，不得参加同一合同项下的政府采购活动。</w:t>
      </w:r>
      <w:r>
        <w:rPr>
          <w:rFonts w:hint="eastAsia" w:ascii="宋体" w:hAnsi="宋体" w:eastAsia="宋体" w:cs="宋体"/>
          <w:b w:val="0"/>
          <w:bCs/>
          <w:sz w:val="24"/>
          <w:szCs w:val="24"/>
        </w:rPr>
      </w:r>
      <w:r/>
    </w:p>
    <w:p>
      <w:pPr>
        <w:pStyle w:val="799"/>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.2凡为本采购项目提供整体设计、规范编制或者项目管理、监理、检测等服务的供应商，不得再参加本采购项目的其他采购活动</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799"/>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三、获取采购文件</w:t>
      </w:r>
      <w:bookmarkEnd w:id="12"/>
      <w:r/>
      <w:bookmarkEnd w:id="13"/>
      <w:r/>
      <w:bookmarkEnd w:id="14"/>
      <w:r/>
      <w:bookmarkEnd w:id="15"/>
      <w:r>
        <w:rPr>
          <w:rFonts w:hint="eastAsia" w:ascii="宋体" w:hAnsi="宋体" w:eastAsia="宋体" w:cs="宋体"/>
          <w:sz w:val="24"/>
          <w:szCs w:val="24"/>
        </w:rPr>
      </w:r>
      <w:r/>
    </w:p>
    <w:p>
      <w:pPr>
        <w:pStyle w:val="797"/>
        <w:ind w:firstLine="480"/>
        <w:spacing w:line="480" w:lineRule="auto"/>
        <w:rPr>
          <w:rFonts w:hint="eastAsia" w:ascii="宋体" w:hAnsi="宋体" w:cs="宋体"/>
          <w:sz w:val="24"/>
          <w:szCs w:val="24"/>
        </w:rPr>
      </w:pPr>
      <w:r/>
      <w:bookmarkStart w:id="16" w:name="_Toc35393801"/>
      <w:r/>
      <w:bookmarkStart w:id="17" w:name="_Toc35393632"/>
      <w:r/>
      <w:bookmarkStart w:id="18" w:name="_Toc28359092"/>
      <w:r/>
      <w:bookmarkStart w:id="19" w:name="_Toc28359015"/>
      <w:r>
        <w:rPr>
          <w:rFonts w:hint="eastAsia" w:ascii="宋体" w:hAnsi="宋体" w:cs="宋体"/>
          <w:sz w:val="24"/>
          <w:szCs w:val="24"/>
        </w:rPr>
        <w:t xml:space="preserve">时间：自磋商文件公告发布之日起5个工作日 </w:t>
      </w:r>
      <w:r>
        <w:rPr>
          <w:rFonts w:hint="eastAsia" w:ascii="宋体" w:hAnsi="宋体" w:cs="宋体"/>
          <w:sz w:val="24"/>
          <w:szCs w:val="24"/>
        </w:rPr>
      </w:r>
      <w:r/>
    </w:p>
    <w:p>
      <w:pPr>
        <w:pStyle w:val="797"/>
        <w:ind w:firstLine="480"/>
        <w:spacing w:line="480" w:lineRule="auto"/>
        <w:rPr>
          <w:rFonts w:hint="eastAsia" w:ascii="宋体" w:hAnsi="宋体" w:cs="宋体"/>
          <w:sz w:val="24"/>
          <w:szCs w:val="24"/>
          <w:u w:val="single"/>
        </w:rPr>
      </w:pPr>
      <w:r>
        <w:rPr>
          <w:rFonts w:hint="eastAsia" w:ascii="宋体" w:hAnsi="宋体" w:cs="宋体"/>
          <w:sz w:val="24"/>
          <w:szCs w:val="24"/>
        </w:rPr>
        <w:t xml:space="preserve">地点：“苏采云”政府采购一体化平台  </w:t>
      </w:r>
      <w:r>
        <w:rPr>
          <w:rFonts w:hint="eastAsia" w:ascii="宋体" w:hAnsi="宋体" w:cs="宋体"/>
          <w:sz w:val="24"/>
          <w:szCs w:val="24"/>
          <w:u w:val="single"/>
        </w:rPr>
      </w:r>
      <w:r/>
    </w:p>
    <w:p>
      <w:pPr>
        <w:pStyle w:val="797"/>
        <w:ind w:firstLine="480"/>
        <w:spacing w:line="480" w:lineRule="auto"/>
        <w:rPr>
          <w:rFonts w:hint="eastAsia" w:ascii="宋体" w:hAnsi="宋体" w:cs="宋体"/>
          <w:sz w:val="24"/>
          <w:szCs w:val="24"/>
          <w:u w:val="single"/>
        </w:rPr>
      </w:pPr>
      <w:r>
        <w:rPr>
          <w:rFonts w:hint="eastAsia" w:ascii="宋体" w:hAnsi="宋体" w:cs="宋体"/>
          <w:sz w:val="24"/>
          <w:szCs w:val="24"/>
        </w:rPr>
        <w:t xml:space="preserve">方式：</w:t>
      </w:r>
      <w:r>
        <w:rPr>
          <w:rFonts w:ascii="Microsoft YaHei" w:hAnsi="Microsoft YaHei" w:eastAsia="Microsoft YaHei" w:cs="Microsoft YaHei"/>
          <w:color w:val="3d3d3d"/>
          <w:sz w:val="21"/>
          <w:highlight w:val="white"/>
        </w:rPr>
        <w:t xml:space="preserve">供应商完成注册并办理CA证书后登录“苏采云”政府采购一体化平台，在磋商文件公告发布之日起5个工作日选择本项目点击“我要参与”并下载本项目采购文件</w:t>
      </w:r>
      <w:r>
        <w:rPr>
          <w:rFonts w:hint="eastAsia" w:ascii="宋体" w:hAnsi="宋体" w:cs="宋体"/>
          <w:sz w:val="24"/>
          <w:szCs w:val="24"/>
        </w:rPr>
        <w:t xml:space="preserve"> </w:t>
      </w:r>
      <w:r>
        <w:rPr>
          <w:rFonts w:hint="eastAsia" w:ascii="宋体" w:hAnsi="宋体" w:cs="宋体"/>
          <w:sz w:val="24"/>
          <w:szCs w:val="24"/>
          <w:u w:val="single"/>
        </w:rPr>
      </w:r>
      <w:r/>
    </w:p>
    <w:p>
      <w:pPr>
        <w:pStyle w:val="797"/>
        <w:ind w:firstLine="480"/>
        <w:spacing w:line="480" w:lineRule="auto"/>
        <w:rPr>
          <w:rFonts w:ascii="宋体" w:hAnsi="宋体" w:cs="宋体"/>
          <w:sz w:val="24"/>
          <w:szCs w:val="24"/>
        </w:rPr>
      </w:pPr>
      <w:r>
        <w:rPr>
          <w:rFonts w:hint="eastAsia" w:ascii="宋体" w:hAnsi="宋体" w:cs="宋体"/>
          <w:sz w:val="24"/>
          <w:szCs w:val="24"/>
        </w:rPr>
        <w:t xml:space="preserve">售价：0.00元</w:t>
      </w:r>
      <w:r>
        <w:rPr>
          <w:rFonts w:ascii="宋体" w:hAnsi="宋体" w:cs="宋体"/>
          <w:sz w:val="24"/>
          <w:szCs w:val="24"/>
        </w:rPr>
      </w:r>
      <w:r/>
    </w:p>
    <w:p>
      <w:pPr>
        <w:pStyle w:val="799"/>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四、响应文件提交</w:t>
      </w:r>
      <w:bookmarkEnd w:id="16"/>
      <w:r/>
      <w:bookmarkEnd w:id="17"/>
      <w:r/>
      <w:bookmarkEnd w:id="18"/>
      <w:r/>
      <w:bookmarkEnd w:id="19"/>
      <w:r>
        <w:rPr>
          <w:rFonts w:hint="eastAsia" w:ascii="宋体" w:hAnsi="宋体" w:eastAsia="宋体" w:cs="宋体"/>
          <w:sz w:val="24"/>
          <w:szCs w:val="24"/>
        </w:rPr>
      </w:r>
      <w:r/>
    </w:p>
    <w:p>
      <w:pPr>
        <w:pStyle w:val="797"/>
        <w:ind w:firstLine="480"/>
        <w:spacing w:line="480" w:lineRule="auto"/>
        <w:rPr>
          <w:rFonts w:ascii="宋体" w:hAnsi="宋体" w:eastAsia="宋体" w:cs="宋体"/>
          <w:sz w:val="24"/>
          <w:szCs w:val="24"/>
          <w:lang w:val="en-US"/>
        </w:rPr>
      </w:pPr>
      <w:r/>
      <w:bookmarkStart w:id="20" w:name="_Toc28359093"/>
      <w:r/>
      <w:bookmarkStart w:id="21" w:name="_Toc35393802"/>
      <w:r/>
      <w:bookmarkStart w:id="22" w:name="_Toc35393633"/>
      <w:r/>
      <w:bookmarkStart w:id="23" w:name="_Toc28359016"/>
      <w:r>
        <w:rPr>
          <w:rFonts w:hint="eastAsia" w:ascii="宋体" w:hAnsi="宋体" w:eastAsia="宋体" w:cs="宋体"/>
          <w:sz w:val="24"/>
          <w:szCs w:val="24"/>
        </w:rPr>
        <w:t xml:space="preserve">截止时间：202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09：00</w:t>
      </w:r>
      <w:r>
        <w:rPr>
          <w:rFonts w:ascii="宋体" w:hAnsi="宋体" w:eastAsia="宋体" w:cs="宋体"/>
          <w:sz w:val="24"/>
          <w:szCs w:val="24"/>
          <w:lang w:val="en-US"/>
        </w:rPr>
      </w:r>
      <w:r/>
    </w:p>
    <w:p>
      <w:pPr>
        <w:pStyle w:val="797"/>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地点：“苏采云”政府采购一体化平台 </w:t>
      </w:r>
      <w:r>
        <w:rPr>
          <w:rFonts w:hint="eastAsia" w:ascii="宋体" w:hAnsi="宋体" w:eastAsia="宋体" w:cs="宋体"/>
          <w:sz w:val="24"/>
          <w:szCs w:val="24"/>
        </w:rPr>
      </w:r>
      <w:r/>
    </w:p>
    <w:p>
      <w:pPr>
        <w:pStyle w:val="799"/>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五、开启</w:t>
      </w:r>
      <w:bookmarkEnd w:id="20"/>
      <w:r/>
      <w:bookmarkEnd w:id="21"/>
      <w:r/>
      <w:bookmarkEnd w:id="22"/>
      <w:r/>
      <w:bookmarkEnd w:id="23"/>
      <w:r>
        <w:rPr>
          <w:rFonts w:hint="eastAsia" w:ascii="宋体" w:hAnsi="宋体" w:eastAsia="宋体" w:cs="宋体"/>
          <w:sz w:val="24"/>
          <w:szCs w:val="24"/>
        </w:rPr>
      </w:r>
      <w:r/>
    </w:p>
    <w:p>
      <w:pPr>
        <w:pStyle w:val="797"/>
        <w:ind w:firstLine="480"/>
        <w:spacing w:line="480" w:lineRule="auto"/>
        <w:rPr>
          <w:rFonts w:ascii="宋体" w:hAnsi="宋体" w:eastAsia="宋体" w:cs="宋体"/>
          <w:bCs/>
          <w:sz w:val="24"/>
          <w:szCs w:val="24"/>
          <w:lang w:val="en-US" w:eastAsia="zh-CN"/>
        </w:rPr>
      </w:pPr>
      <w:r>
        <w:rPr>
          <w:rFonts w:hint="eastAsia" w:ascii="宋体" w:hAnsi="宋体" w:cs="宋体"/>
          <w:sz w:val="24"/>
          <w:szCs w:val="24"/>
        </w:rPr>
        <w:t xml:space="preserve">时间：2025年1</w:t>
      </w:r>
      <w:r>
        <w:rPr>
          <w:rFonts w:hint="eastAsia" w:ascii="宋体" w:hAnsi="宋体" w:cs="宋体"/>
          <w:sz w:val="24"/>
          <w:szCs w:val="24"/>
          <w:lang w:val="en-US" w:eastAsia="zh-CN"/>
        </w:rPr>
        <w:t xml:space="preserve">2</w:t>
      </w:r>
      <w:r>
        <w:rPr>
          <w:rFonts w:hint="eastAsia" w:ascii="宋体" w:hAnsi="宋体" w:cs="宋体"/>
          <w:sz w:val="24"/>
          <w:szCs w:val="24"/>
        </w:rPr>
        <w:t xml:space="preserve">月</w:t>
      </w:r>
      <w:r>
        <w:rPr>
          <w:rFonts w:hint="eastAsia" w:ascii="宋体" w:hAnsi="宋体" w:cs="宋体"/>
          <w:sz w:val="24"/>
          <w:szCs w:val="24"/>
          <w:lang w:val="en-US" w:eastAsia="zh-CN"/>
        </w:rPr>
        <w:t xml:space="preserve">29</w:t>
      </w:r>
      <w:r>
        <w:rPr>
          <w:rFonts w:hint="eastAsia" w:ascii="宋体" w:hAnsi="宋体" w:cs="宋体"/>
          <w:sz w:val="24"/>
          <w:szCs w:val="24"/>
        </w:rPr>
        <w:t xml:space="preserve">日</w:t>
      </w:r>
      <w:r>
        <w:rPr>
          <w:rFonts w:hint="eastAsia" w:ascii="宋体" w:hAnsi="宋体" w:cs="宋体"/>
          <w:sz w:val="24"/>
          <w:szCs w:val="24"/>
          <w:lang w:val="en-US" w:eastAsia="zh-CN"/>
        </w:rPr>
        <w:t xml:space="preserve">09：00</w:t>
      </w:r>
      <w:r>
        <w:rPr>
          <w:rFonts w:ascii="宋体" w:hAnsi="宋体" w:eastAsia="宋体" w:cs="宋体"/>
          <w:bCs/>
          <w:sz w:val="24"/>
          <w:szCs w:val="24"/>
          <w:lang w:val="en-US" w:eastAsia="zh-CN"/>
        </w:rPr>
      </w:r>
      <w:r/>
    </w:p>
    <w:p>
      <w:pPr>
        <w:pStyle w:val="797"/>
        <w:ind w:firstLine="480"/>
        <w:spacing w:line="480" w:lineRule="auto"/>
        <w:rPr>
          <w:rFonts w:hint="eastAsia" w:ascii="宋体" w:hAnsi="宋体" w:cs="宋体"/>
          <w:bCs/>
          <w:sz w:val="24"/>
          <w:szCs w:val="24"/>
          <w:u w:val="single"/>
        </w:rPr>
      </w:pPr>
      <w:r>
        <w:rPr>
          <w:rFonts w:hint="eastAsia" w:ascii="宋体" w:hAnsi="宋体" w:cs="宋体"/>
          <w:sz w:val="24"/>
          <w:szCs w:val="24"/>
        </w:rPr>
        <w:t xml:space="preserve">地点：“苏采云”政府采购一体化平台</w:t>
      </w:r>
      <w:r>
        <w:rPr>
          <w:rFonts w:hint="eastAsia" w:ascii="宋体" w:hAnsi="宋体" w:cs="宋体"/>
          <w:bCs/>
          <w:sz w:val="24"/>
          <w:szCs w:val="24"/>
          <w:u w:val="single"/>
        </w:rPr>
      </w:r>
      <w:r/>
    </w:p>
    <w:p>
      <w:pPr>
        <w:pStyle w:val="799"/>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bookmarkStart w:id="24" w:name="_Toc35393803"/>
      <w:r/>
      <w:bookmarkStart w:id="25" w:name="_Toc28359094"/>
      <w:r/>
      <w:bookmarkStart w:id="26" w:name="_Toc35393634"/>
      <w:r/>
      <w:bookmarkStart w:id="27" w:name="_Toc28359017"/>
      <w:r>
        <w:rPr>
          <w:rFonts w:hint="eastAsia" w:ascii="宋体" w:hAnsi="宋体" w:eastAsia="宋体" w:cs="宋体"/>
          <w:sz w:val="24"/>
          <w:szCs w:val="24"/>
        </w:rPr>
        <w:t xml:space="preserve">六、公告期限</w:t>
      </w:r>
      <w:bookmarkEnd w:id="24"/>
      <w:r/>
      <w:bookmarkEnd w:id="25"/>
      <w:r/>
      <w:bookmarkEnd w:id="26"/>
      <w:r/>
      <w:bookmarkEnd w:id="27"/>
      <w:r>
        <w:rPr>
          <w:rFonts w:hint="eastAsia" w:ascii="宋体" w:hAnsi="宋体" w:eastAsia="宋体" w:cs="宋体"/>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rPr>
        <w:t xml:space="preserve">自本公告发布之日起3个工作日。</w:t>
      </w:r>
      <w:r>
        <w:rPr>
          <w:rFonts w:hint="eastAsia" w:ascii="宋体" w:hAnsi="宋体" w:cs="宋体"/>
          <w:sz w:val="24"/>
          <w:szCs w:val="24"/>
        </w:rPr>
      </w:r>
      <w:r/>
    </w:p>
    <w:p>
      <w:pPr>
        <w:pStyle w:val="799"/>
        <w:numPr>
          <w:ilvl w:val="0"/>
          <w:numId w:val="0"/>
        </w:numPr>
        <w:ind w:left="0" w:right="0" w:firstLine="482"/>
        <w:keepNext w:val="0"/>
        <w:spacing w:before="0" w:after="0" w:line="480" w:lineRule="auto"/>
        <w:tabs>
          <w:tab w:val="left" w:pos="420" w:leader="none"/>
          <w:tab w:val="left" w:pos="560" w:leader="none"/>
        </w:tabs>
        <w:rPr>
          <w:rFonts w:hint="eastAsia" w:ascii="宋体" w:hAnsi="宋体" w:eastAsia="宋体" w:cs="宋体"/>
          <w:sz w:val="24"/>
          <w:szCs w:val="24"/>
        </w:rPr>
      </w:pPr>
      <w:r/>
      <w:bookmarkStart w:id="28" w:name="_Toc35393635"/>
      <w:r/>
      <w:bookmarkStart w:id="29" w:name="_Toc35393804"/>
      <w:r>
        <w:rPr>
          <w:rFonts w:hint="eastAsia" w:ascii="宋体" w:hAnsi="宋体" w:eastAsia="宋体" w:cs="宋体"/>
          <w:b/>
          <w:sz w:val="24"/>
          <w:szCs w:val="24"/>
          <w:lang w:val="en-US" w:eastAsia="zh-CN" w:bidi="ar-SA"/>
        </w:rPr>
        <w:t xml:space="preserve">七、</w:t>
      </w:r>
      <w:r>
        <w:rPr>
          <w:rFonts w:hint="eastAsia" w:ascii="宋体" w:hAnsi="宋体" w:eastAsia="宋体" w:cs="宋体"/>
          <w:sz w:val="24"/>
          <w:szCs w:val="24"/>
        </w:rPr>
        <w:t xml:space="preserve">其他补充</w:t>
      </w:r>
      <w:bookmarkEnd w:id="28"/>
      <w:r/>
      <w:bookmarkEnd w:id="29"/>
      <w:r>
        <w:rPr>
          <w:rFonts w:hint="eastAsia" w:ascii="宋体" w:hAnsi="宋体" w:eastAsia="宋体" w:cs="宋体"/>
          <w:sz w:val="24"/>
          <w:szCs w:val="24"/>
        </w:rPr>
        <w:t xml:space="preserve">事宜</w:t>
      </w:r>
      <w:r>
        <w:rPr>
          <w:rFonts w:hint="eastAsia" w:ascii="宋体" w:hAnsi="宋体" w:eastAsia="宋体" w:cs="宋体"/>
          <w:sz w:val="24"/>
          <w:szCs w:val="24"/>
        </w:rPr>
      </w:r>
      <w:r/>
    </w:p>
    <w:p>
      <w:pPr>
        <w:pStyle w:val="799"/>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rPr>
      </w:pPr>
      <w:r/>
      <w:bookmarkStart w:id="30" w:name="_Toc28359018"/>
      <w:r/>
      <w:bookmarkStart w:id="31" w:name="_Toc35393636"/>
      <w:r/>
      <w:bookmarkStart w:id="32" w:name="_Toc28359095"/>
      <w:r/>
      <w:bookmarkStart w:id="33" w:name="_Toc35393805"/>
      <w:r>
        <w:rPr>
          <w:rFonts w:hint="eastAsia" w:ascii="宋体" w:hAnsi="宋体" w:eastAsia="宋体" w:cs="宋体"/>
          <w:b w:val="0"/>
          <w:bCs/>
          <w:sz w:val="24"/>
          <w:szCs w:val="24"/>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江苏省财政厅关于加强政府绿色采购有关事项的通知》等政府采购政策文件。</w:t>
      </w:r>
      <w:r>
        <w:rPr>
          <w:rFonts w:hint="eastAsia" w:ascii="宋体" w:hAnsi="宋体" w:eastAsia="宋体" w:cs="宋体"/>
          <w:b w:val="0"/>
          <w:bCs/>
          <w:sz w:val="24"/>
          <w:szCs w:val="24"/>
        </w:rPr>
      </w:r>
      <w:r/>
    </w:p>
    <w:p>
      <w:pPr>
        <w:pStyle w:val="799"/>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八、凡对本次采购提出询问，请按以下方式联系</w:t>
      </w:r>
      <w:bookmarkEnd w:id="30"/>
      <w:r/>
      <w:bookmarkEnd w:id="31"/>
      <w:r/>
      <w:bookmarkEnd w:id="32"/>
      <w:r/>
      <w:bookmarkEnd w:id="33"/>
      <w:r>
        <w:rPr>
          <w:rFonts w:hint="eastAsia" w:ascii="宋体" w:hAnsi="宋体" w:eastAsia="宋体" w:cs="宋体"/>
          <w:sz w:val="24"/>
          <w:szCs w:val="24"/>
        </w:rPr>
      </w:r>
      <w:r/>
    </w:p>
    <w:p>
      <w:pPr>
        <w:pStyle w:val="797"/>
        <w:ind w:firstLine="480"/>
        <w:jc w:val="left"/>
        <w:spacing w:line="480" w:lineRule="auto"/>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97"/>
        <w:contextualSpacing/>
        <w:ind w:firstLine="480"/>
        <w:jc w:val="left"/>
        <w:spacing w:line="480" w:lineRule="auto"/>
        <w:shd w:val="clear" w:color="auto" w:fill="ffffff"/>
        <w:widowControl/>
        <w:rPr>
          <w:rFonts w:hint="eastAsia" w:ascii="宋体" w:hAnsi="宋体" w:cs="宋体"/>
          <w:sz w:val="24"/>
          <w:szCs w:val="24"/>
        </w:rPr>
      </w:pPr>
      <w:r/>
      <w:bookmarkStart w:id="34" w:name="_Toc28359086"/>
      <w:r/>
      <w:bookmarkStart w:id="35" w:name="_Toc28359009"/>
      <w:r>
        <w:rPr>
          <w:rFonts w:hint="eastAsia" w:ascii="宋体" w:hAnsi="宋体" w:cs="宋体"/>
          <w:sz w:val="24"/>
          <w:szCs w:val="24"/>
        </w:rPr>
        <w:t xml:space="preserve">名称：泰州市卫生健康委员会</w:t>
      </w:r>
      <w:r>
        <w:rPr>
          <w:rFonts w:hint="eastAsia" w:ascii="宋体" w:hAnsi="宋体" w:cs="宋体"/>
          <w:sz w:val="24"/>
          <w:szCs w:val="24"/>
        </w:rPr>
      </w:r>
      <w:r/>
    </w:p>
    <w:p>
      <w:pPr>
        <w:pStyle w:val="797"/>
        <w:contextualSpacing/>
        <w:ind w:firstLine="480"/>
        <w:jc w:val="left"/>
        <w:spacing w:line="48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地址：泰州市海陵区永泰路318号</w:t>
      </w:r>
      <w:r>
        <w:rPr>
          <w:rFonts w:hint="eastAsia" w:ascii="宋体" w:hAnsi="宋体" w:cs="宋体"/>
          <w:sz w:val="24"/>
          <w:szCs w:val="24"/>
        </w:rPr>
      </w:r>
      <w:r/>
    </w:p>
    <w:p>
      <w:pPr>
        <w:pStyle w:val="797"/>
        <w:contextualSpacing/>
        <w:ind w:firstLine="480"/>
        <w:jc w:val="left"/>
        <w:spacing w:line="48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联系方式：姚女士，0523-86898383</w:t>
      </w:r>
      <w:r>
        <w:rPr>
          <w:rFonts w:hint="eastAsia" w:ascii="宋体" w:hAnsi="宋体" w:cs="宋体"/>
          <w:sz w:val="24"/>
          <w:szCs w:val="24"/>
        </w:rPr>
      </w:r>
      <w:r/>
    </w:p>
    <w:p>
      <w:pPr>
        <w:pStyle w:val="797"/>
        <w:contextualSpacing/>
        <w:ind w:firstLine="480"/>
        <w:jc w:val="left"/>
        <w:spacing w:line="48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2.采购代理机构信息</w:t>
      </w:r>
      <w:bookmarkEnd w:id="34"/>
      <w:r/>
      <w:bookmarkEnd w:id="35"/>
      <w:r>
        <w:rPr>
          <w:rFonts w:hint="eastAsia" w:ascii="宋体" w:hAnsi="宋体" w:cs="宋体"/>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rPr>
        <w:t xml:space="preserve">名称：江苏经纬会计师事务所有限公司　　　　　　　　　　</w:t>
      </w:r>
      <w:r>
        <w:rPr>
          <w:rFonts w:hint="eastAsia" w:ascii="宋体" w:hAnsi="宋体" w:cs="宋体"/>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rPr>
        <w:t xml:space="preserve">地　址：泰州市人民东路37号　　　　　　　　　　</w:t>
      </w:r>
      <w:r>
        <w:rPr>
          <w:rFonts w:hint="eastAsia" w:ascii="宋体" w:hAnsi="宋体" w:cs="宋体"/>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rPr>
        <w:t xml:space="preserve">联系方式：</w:t>
      </w:r>
      <w:bookmarkStart w:id="36" w:name="_Toc28359010"/>
      <w:r/>
      <w:bookmarkStart w:id="37" w:name="_Toc28359087"/>
      <w:r>
        <w:rPr>
          <w:rFonts w:hint="eastAsia" w:ascii="宋体" w:hAnsi="宋体" w:cs="宋体"/>
          <w:sz w:val="24"/>
          <w:szCs w:val="24"/>
        </w:rPr>
        <w:t xml:space="preserve">刘先生，</w:t>
      </w:r>
      <w:r>
        <w:rPr>
          <w:rFonts w:hint="eastAsia" w:ascii="宋体" w:hAnsi="宋体" w:cs="宋体"/>
          <w:spacing w:val="15"/>
          <w:sz w:val="24"/>
          <w:szCs w:val="24"/>
        </w:rPr>
        <w:t xml:space="preserve">0523-86213810，邮箱jsjwzbdl@163.com</w:t>
      </w:r>
      <w:r>
        <w:rPr>
          <w:rFonts w:hint="eastAsia" w:ascii="宋体" w:hAnsi="宋体" w:cs="宋体"/>
          <w:sz w:val="24"/>
          <w:szCs w:val="24"/>
        </w:rPr>
        <w:t xml:space="preserve">　　　　　　　　　</w:t>
      </w:r>
      <w:r>
        <w:rPr>
          <w:rFonts w:hint="eastAsia" w:ascii="宋体" w:hAnsi="宋体" w:cs="宋体"/>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rPr>
        <w:t xml:space="preserve">3.项目联系方式</w:t>
      </w:r>
      <w:bookmarkEnd w:id="36"/>
      <w:r/>
      <w:bookmarkEnd w:id="37"/>
      <w:r>
        <w:rPr>
          <w:rFonts w:hint="eastAsia" w:ascii="宋体" w:hAnsi="宋体" w:cs="宋体"/>
          <w:sz w:val="24"/>
          <w:szCs w:val="24"/>
        </w:rPr>
      </w:r>
      <w:r/>
    </w:p>
    <w:p>
      <w:pPr>
        <w:pStyle w:val="821"/>
        <w:ind w:firstLine="480"/>
        <w:spacing w:line="480" w:lineRule="auto"/>
        <w:rPr>
          <w:rFonts w:hint="eastAsia" w:hAnsi="宋体" w:cs="宋体"/>
          <w:sz w:val="24"/>
          <w:szCs w:val="24"/>
        </w:rPr>
      </w:pPr>
      <w:r>
        <w:rPr>
          <w:rFonts w:hint="eastAsia" w:hAnsi="宋体" w:cs="宋体"/>
          <w:sz w:val="24"/>
          <w:szCs w:val="24"/>
        </w:rPr>
        <w:t xml:space="preserve">项目联系人：刘先生</w:t>
      </w:r>
      <w:r>
        <w:rPr>
          <w:rFonts w:hint="eastAsia" w:hAnsi="宋体" w:cs="宋体"/>
          <w:sz w:val="24"/>
          <w:szCs w:val="24"/>
        </w:rPr>
      </w:r>
      <w:r/>
    </w:p>
    <w:p>
      <w:pPr>
        <w:pStyle w:val="797"/>
        <w:ind w:firstLine="480"/>
        <w:spacing w:line="480" w:lineRule="auto"/>
        <w:rPr>
          <w:rFonts w:hint="eastAsia" w:ascii="宋体" w:hAnsi="宋体" w:cs="宋体"/>
          <w:b/>
          <w:sz w:val="28"/>
          <w:szCs w:val="28"/>
        </w:rPr>
      </w:pPr>
      <w:r>
        <w:rPr>
          <w:rFonts w:hint="eastAsia" w:ascii="宋体" w:hAnsi="宋体" w:cs="宋体"/>
          <w:sz w:val="24"/>
          <w:szCs w:val="24"/>
        </w:rPr>
        <w:t xml:space="preserve">电　话：0523-86213810</w:t>
      </w:r>
      <w:bookmarkStart w:id="38" w:name="_Toc28832"/>
      <w:r>
        <w:rPr>
          <w:rFonts w:hint="eastAsia" w:ascii="宋体" w:hAnsi="宋体" w:cs="宋体"/>
          <w:b/>
          <w:sz w:val="28"/>
          <w:szCs w:val="28"/>
        </w:rPr>
      </w:r>
      <w:r/>
    </w:p>
    <w:p>
      <w:pPr>
        <w:pStyle w:val="797"/>
        <w:jc w:val="center"/>
        <w:rPr>
          <w:rFonts w:hint="eastAsia" w:ascii="宋体" w:hAnsi="宋体" w:cs="宋体"/>
          <w:b/>
          <w:sz w:val="28"/>
          <w:szCs w:val="28"/>
        </w:rPr>
      </w:pPr>
      <w:r>
        <w:rPr>
          <w:rFonts w:hint="eastAsia" w:ascii="宋体" w:hAnsi="宋体" w:cs="宋体"/>
          <w:b/>
          <w:sz w:val="28"/>
          <w:szCs w:val="28"/>
        </w:rPr>
      </w:r>
      <w:r/>
    </w:p>
    <w:p>
      <w:pPr>
        <w:pStyle w:val="797"/>
        <w:jc w:val="center"/>
        <w:rPr>
          <w:rFonts w:hint="eastAsia" w:ascii="宋体" w:hAnsi="宋体" w:cs="宋体"/>
          <w:b/>
          <w:sz w:val="28"/>
          <w:szCs w:val="28"/>
        </w:rPr>
      </w:pPr>
      <w:r>
        <w:rPr>
          <w:rFonts w:hint="eastAsia" w:ascii="宋体" w:hAnsi="宋体" w:cs="宋体"/>
          <w:b/>
          <w:sz w:val="28"/>
          <w:szCs w:val="28"/>
        </w:rPr>
        <w:t xml:space="preserve">第二章  参加磋商供应商须知</w:t>
      </w:r>
      <w:bookmarkEnd w:id="38"/>
      <w:r>
        <w:rPr>
          <w:rFonts w:hint="eastAsia" w:ascii="宋体" w:hAnsi="宋体" w:cs="宋体"/>
          <w:b/>
          <w:sz w:val="28"/>
          <w:szCs w:val="28"/>
        </w:rPr>
      </w:r>
      <w:r/>
    </w:p>
    <w:p>
      <w:pPr>
        <w:pStyle w:val="797"/>
        <w:ind w:firstLine="480"/>
        <w:jc w:val="center"/>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（参加竞争性磋商的供应商以下简称“供应商”）</w:t>
      </w:r>
      <w:r>
        <w:rPr>
          <w:rFonts w:hint="eastAsia" w:ascii="宋体" w:hAnsi="宋体" w:cs="宋体"/>
          <w:sz w:val="24"/>
          <w:szCs w:val="24"/>
        </w:rPr>
      </w:r>
      <w:r/>
    </w:p>
    <w:p>
      <w:pPr>
        <w:pStyle w:val="797"/>
        <w:numPr>
          <w:ilvl w:val="0"/>
          <w:numId w:val="0"/>
        </w:numPr>
        <w:ind w:firstLine="482"/>
        <w:spacing w:line="480" w:lineRule="auto"/>
        <w:tabs>
          <w:tab w:val="left" w:pos="900" w:leader="none"/>
        </w:tabs>
        <w:rPr>
          <w:rFonts w:hint="eastAsia" w:ascii="宋体" w:hAnsi="宋体" w:cs="宋体"/>
          <w:b/>
          <w:sz w:val="24"/>
          <w:szCs w:val="24"/>
        </w:rPr>
      </w:pPr>
      <w:r/>
      <w:bookmarkEnd w:id="1"/>
      <w:r/>
      <w:bookmarkEnd w:id="2"/>
      <w:r/>
      <w:bookmarkEnd w:id="3"/>
      <w:r>
        <w:rPr>
          <w:rFonts w:hint="eastAsia" w:ascii="宋体" w:hAnsi="宋体" w:cs="宋体"/>
          <w:b/>
          <w:sz w:val="24"/>
          <w:szCs w:val="24"/>
          <w:lang w:val="en-US" w:eastAsia="zh-CN" w:bidi="ar-SA"/>
        </w:rPr>
        <w:t xml:space="preserve">一、</w:t>
      </w:r>
      <w:r>
        <w:rPr>
          <w:rFonts w:hint="eastAsia" w:ascii="宋体" w:hAnsi="宋体" w:cs="宋体"/>
          <w:b/>
          <w:sz w:val="24"/>
          <w:szCs w:val="24"/>
        </w:rPr>
        <w:t xml:space="preserve">总则</w:t>
      </w:r>
      <w:r>
        <w:rPr>
          <w:rFonts w:hint="eastAsia" w:ascii="宋体" w:hAnsi="宋体" w:cs="宋体"/>
          <w:b/>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1.适用范围</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本竞争性磋商文件仅适用于竞争性磋商公告中所叙述采购项目。</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2.项目采购方式</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本次采购采取竞争性磋商的方式。</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3.合格的磋商供应商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3.1满足本磋商文件“竞争性磋商公告”中申请人的资格要求规定。</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3.2满足本磋商文件其他实质性要求和条件规定。</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4.参加磋商费用</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4.1参加磋商供应商应自行承担所有与参加磋商有关的费用。不论最终的成交结果如何，采购人或代理机构在任何情况下均无义务和责任承担这些费用。</w:t>
      </w:r>
      <w:r>
        <w:rPr>
          <w:rFonts w:hint="eastAsia" w:ascii="宋体" w:hAnsi="宋体" w:cs="宋体"/>
          <w:sz w:val="24"/>
          <w:szCs w:val="24"/>
        </w:rPr>
      </w:r>
      <w:r/>
    </w:p>
    <w:p>
      <w:pPr>
        <w:pStyle w:val="797"/>
        <w:ind w:firstLine="480"/>
        <w:spacing w:line="480" w:lineRule="auto"/>
        <w:tabs>
          <w:tab w:val="left" w:pos="900" w:leader="none"/>
        </w:tabs>
        <w:rPr>
          <w:rFonts w:ascii="宋体" w:hAnsi="宋体" w:cs="宋体"/>
          <w:sz w:val="24"/>
          <w:szCs w:val="24"/>
        </w:rPr>
      </w:pPr>
      <w:r>
        <w:rPr>
          <w:rFonts w:hint="eastAsia" w:ascii="宋体" w:hAnsi="宋体" w:cs="宋体"/>
          <w:sz w:val="24"/>
          <w:szCs w:val="24"/>
        </w:rPr>
        <w:t xml:space="preserve">4.2本项目按照《关于印发《江苏省政府采购代理服务收费指导意见》的通知》（苏政采协〔2024〕20号）标准差额定率分档累进收取中标服务费，由成交供应商承担。具体费率如下：</w:t>
      </w:r>
      <w:r>
        <w:rPr>
          <w:rFonts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12"/>
        <w:gridCol w:w="2841"/>
      </w:tblGrid>
      <w:tr>
        <w:trPr/>
        <w:tc>
          <w:tcPr>
            <w:tcW w:w="3612" w:type="dxa"/>
            <w:vAlign w:val="top"/>
            <w:textDirection w:val="lrTb"/>
            <w:noWrap w:val="false"/>
          </w:tcPr>
          <w:p>
            <w:pPr>
              <w:pStyle w:val="797"/>
              <w:jc w:val="center"/>
              <w:spacing w:line="480" w:lineRule="auto"/>
              <w:tabs>
                <w:tab w:val="left" w:pos="900" w:leader="none"/>
              </w:tabs>
              <w:rPr>
                <w:rFonts w:ascii="宋体" w:hAnsi="宋体" w:cs="宋体"/>
                <w:spacing w:val="15"/>
                <w:sz w:val="24"/>
                <w:szCs w:val="24"/>
              </w:rPr>
            </w:pPr>
            <w:r>
              <w:rPr>
                <w:rFonts w:hint="eastAsia" w:ascii="宋体" w:hAnsi="宋体" w:cs="宋体"/>
                <w:spacing w:val="15"/>
                <w:sz w:val="24"/>
                <w:szCs w:val="24"/>
              </w:rPr>
              <w:t xml:space="preserve">中标或成交金额</w:t>
            </w:r>
            <w:r>
              <w:rPr>
                <w:rFonts w:ascii="宋体" w:hAnsi="宋体" w:cs="宋体"/>
                <w:spacing w:val="15"/>
                <w:sz w:val="24"/>
                <w:szCs w:val="24"/>
              </w:rPr>
            </w:r>
            <w:r/>
          </w:p>
        </w:tc>
        <w:tc>
          <w:tcPr>
            <w:tcW w:w="2841" w:type="dxa"/>
            <w:vAlign w:val="top"/>
            <w:textDirection w:val="lrTb"/>
            <w:noWrap w:val="false"/>
          </w:tcPr>
          <w:p>
            <w:pPr>
              <w:pStyle w:val="797"/>
              <w:jc w:val="center"/>
              <w:spacing w:line="480" w:lineRule="auto"/>
              <w:tabs>
                <w:tab w:val="left" w:pos="900" w:leader="none"/>
              </w:tabs>
              <w:rPr>
                <w:rFonts w:ascii="宋体" w:hAnsi="宋体" w:cs="宋体"/>
                <w:spacing w:val="15"/>
                <w:sz w:val="24"/>
                <w:szCs w:val="24"/>
              </w:rPr>
            </w:pPr>
            <w:r>
              <w:rPr>
                <w:rFonts w:hint="eastAsia" w:ascii="宋体" w:hAnsi="宋体" w:cs="宋体"/>
                <w:spacing w:val="15"/>
                <w:sz w:val="24"/>
                <w:szCs w:val="24"/>
              </w:rPr>
              <w:t xml:space="preserve">费率</w:t>
            </w:r>
            <w:r>
              <w:rPr>
                <w:rFonts w:ascii="宋体" w:hAnsi="宋体" w:cs="宋体"/>
                <w:spacing w:val="15"/>
                <w:sz w:val="24"/>
                <w:szCs w:val="24"/>
              </w:rPr>
            </w:r>
            <w:r/>
          </w:p>
        </w:tc>
      </w:tr>
      <w:tr>
        <w:trPr/>
        <w:tc>
          <w:tcPr>
            <w:tcW w:w="3612" w:type="dxa"/>
            <w:vAlign w:val="top"/>
            <w:textDirection w:val="lrTb"/>
            <w:noWrap w:val="false"/>
          </w:tcPr>
          <w:p>
            <w:pPr>
              <w:pStyle w:val="797"/>
              <w:jc w:val="center"/>
              <w:spacing w:line="480" w:lineRule="auto"/>
              <w:tabs>
                <w:tab w:val="left" w:pos="900" w:leader="none"/>
              </w:tabs>
              <w:rPr>
                <w:rFonts w:hint="eastAsia" w:ascii="宋体" w:hAnsi="宋体" w:cs="宋体"/>
                <w:spacing w:val="15"/>
                <w:sz w:val="24"/>
                <w:szCs w:val="24"/>
              </w:rPr>
            </w:pPr>
            <w:r>
              <w:rPr>
                <w:rFonts w:hint="eastAsia" w:ascii="宋体" w:hAnsi="宋体" w:cs="宋体"/>
                <w:spacing w:val="15"/>
                <w:sz w:val="24"/>
                <w:szCs w:val="24"/>
              </w:rPr>
              <w:t xml:space="preserve">50万元以下(含50万元)</w:t>
            </w:r>
            <w:r>
              <w:rPr>
                <w:rFonts w:hint="eastAsia" w:ascii="宋体" w:hAnsi="宋体" w:cs="宋体"/>
                <w:spacing w:val="15"/>
                <w:sz w:val="24"/>
                <w:szCs w:val="24"/>
              </w:rPr>
            </w:r>
            <w:r/>
          </w:p>
        </w:tc>
        <w:tc>
          <w:tcPr>
            <w:tcW w:w="2841" w:type="dxa"/>
            <w:vAlign w:val="top"/>
            <w:textDirection w:val="lrTb"/>
            <w:noWrap w:val="false"/>
          </w:tcPr>
          <w:p>
            <w:pPr>
              <w:pStyle w:val="797"/>
              <w:jc w:val="center"/>
              <w:spacing w:line="480" w:lineRule="auto"/>
              <w:tabs>
                <w:tab w:val="left" w:pos="900" w:leader="none"/>
              </w:tabs>
              <w:rPr>
                <w:rFonts w:ascii="宋体" w:hAnsi="宋体" w:cs="宋体"/>
                <w:spacing w:val="15"/>
                <w:sz w:val="24"/>
                <w:szCs w:val="24"/>
              </w:rPr>
            </w:pPr>
            <w:r>
              <w:rPr>
                <w:rFonts w:hint="eastAsia" w:ascii="宋体" w:hAnsi="宋体" w:cs="宋体"/>
                <w:spacing w:val="15"/>
                <w:sz w:val="24"/>
                <w:szCs w:val="24"/>
              </w:rPr>
              <w:t xml:space="preserve">1.6%</w:t>
            </w:r>
            <w:r>
              <w:rPr>
                <w:rFonts w:ascii="宋体" w:hAnsi="宋体" w:cs="宋体"/>
                <w:spacing w:val="15"/>
                <w:sz w:val="24"/>
                <w:szCs w:val="24"/>
              </w:rPr>
            </w:r>
            <w:r/>
          </w:p>
        </w:tc>
      </w:tr>
      <w:tr>
        <w:trPr/>
        <w:tc>
          <w:tcPr>
            <w:tcW w:w="3612" w:type="dxa"/>
            <w:vAlign w:val="top"/>
            <w:textDirection w:val="lrTb"/>
            <w:noWrap w:val="false"/>
          </w:tcPr>
          <w:p>
            <w:pPr>
              <w:pStyle w:val="797"/>
              <w:jc w:val="center"/>
              <w:spacing w:line="480" w:lineRule="auto"/>
              <w:tabs>
                <w:tab w:val="left" w:pos="900" w:leader="none"/>
              </w:tabs>
              <w:rPr>
                <w:rFonts w:hint="eastAsia" w:ascii="宋体" w:hAnsi="宋体" w:cs="宋体"/>
                <w:spacing w:val="15"/>
                <w:sz w:val="24"/>
                <w:szCs w:val="24"/>
              </w:rPr>
            </w:pPr>
            <w:r>
              <w:rPr>
                <w:rFonts w:hint="eastAsia" w:ascii="宋体" w:hAnsi="宋体" w:cs="宋体"/>
                <w:spacing w:val="15"/>
                <w:sz w:val="24"/>
                <w:szCs w:val="24"/>
              </w:rPr>
              <w:t xml:space="preserve">50-400万元(含400万元)</w:t>
            </w:r>
            <w:r>
              <w:rPr>
                <w:rFonts w:hint="eastAsia" w:ascii="宋体" w:hAnsi="宋体" w:cs="宋体"/>
                <w:spacing w:val="15"/>
                <w:sz w:val="24"/>
                <w:szCs w:val="24"/>
              </w:rPr>
            </w:r>
            <w:r/>
          </w:p>
        </w:tc>
        <w:tc>
          <w:tcPr>
            <w:tcW w:w="2841" w:type="dxa"/>
            <w:vAlign w:val="top"/>
            <w:textDirection w:val="lrTb"/>
            <w:noWrap w:val="false"/>
          </w:tcPr>
          <w:p>
            <w:pPr>
              <w:pStyle w:val="797"/>
              <w:jc w:val="center"/>
              <w:spacing w:line="480" w:lineRule="auto"/>
              <w:tabs>
                <w:tab w:val="left" w:pos="900" w:leader="none"/>
              </w:tabs>
              <w:rPr>
                <w:rFonts w:ascii="宋体" w:hAnsi="宋体" w:cs="宋体"/>
                <w:spacing w:val="15"/>
                <w:sz w:val="24"/>
                <w:szCs w:val="24"/>
              </w:rPr>
            </w:pPr>
            <w:r>
              <w:rPr>
                <w:rFonts w:hint="eastAsia" w:ascii="宋体" w:hAnsi="宋体" w:cs="宋体"/>
                <w:spacing w:val="15"/>
                <w:sz w:val="24"/>
                <w:szCs w:val="24"/>
              </w:rPr>
              <w:t xml:space="preserve">1.5%</w:t>
            </w:r>
            <w:r>
              <w:rPr>
                <w:rFonts w:ascii="宋体" w:hAnsi="宋体" w:cs="宋体"/>
                <w:spacing w:val="15"/>
                <w:sz w:val="24"/>
                <w:szCs w:val="24"/>
              </w:rPr>
            </w:r>
            <w:r/>
          </w:p>
        </w:tc>
      </w:tr>
    </w:tbl>
    <w:p>
      <w:pPr>
        <w:pStyle w:val="797"/>
        <w:ind w:firstLine="540"/>
        <w:spacing w:line="480" w:lineRule="auto"/>
        <w:tabs>
          <w:tab w:val="left" w:pos="900" w:leader="none"/>
        </w:tabs>
        <w:rPr>
          <w:rFonts w:hint="eastAsia"/>
        </w:rPr>
      </w:pPr>
      <w:r>
        <w:rPr>
          <w:rFonts w:hint="eastAsia" w:ascii="宋体" w:hAnsi="宋体" w:cs="宋体"/>
          <w:spacing w:val="15"/>
          <w:sz w:val="24"/>
          <w:szCs w:val="24"/>
        </w:rPr>
        <w:t xml:space="preserve">收款账户：江苏经纬会计师事务所有限公司；开户行：工商银行泰州分行营业部；账号：1115020109000156263</w:t>
      </w:r>
      <w:r>
        <w:rPr>
          <w:rFonts w:hint="eastAsia"/>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5.磋商文件的约束力</w:t>
      </w:r>
      <w:r>
        <w:rPr>
          <w:rFonts w:hint="eastAsia" w:ascii="宋体" w:hAnsi="宋体" w:cs="宋体"/>
          <w:sz w:val="24"/>
          <w:szCs w:val="24"/>
        </w:rPr>
      </w:r>
      <w:r/>
    </w:p>
    <w:p>
      <w:pPr>
        <w:pStyle w:val="797"/>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供应商一旦获取了本磋商文件并决定参加磋商，即被认为接受了本磋商文件的规定和约束，并且视为自竞争性磋商公告期限届满之日起已经知道或应当知道自身权益是否受到了损害。</w:t>
      </w:r>
      <w:bookmarkStart w:id="39" w:name="_Toc16938527"/>
      <w:r/>
      <w:bookmarkStart w:id="40" w:name="_Toc513029211"/>
      <w:r/>
      <w:bookmarkStart w:id="41" w:name="_Toc462564070"/>
      <w:r/>
      <w:bookmarkStart w:id="42" w:name="_Toc20823283"/>
      <w:r>
        <w:rPr>
          <w:rFonts w:hint="eastAsia" w:ascii="宋体" w:hAnsi="宋体" w:cs="宋体"/>
          <w:b/>
          <w:bCs/>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6.磋商文件的澄清</w:t>
      </w:r>
      <w:bookmarkEnd w:id="39"/>
      <w:r/>
      <w:bookmarkEnd w:id="40"/>
      <w:r/>
      <w:bookmarkEnd w:id="41"/>
      <w:r/>
      <w:bookmarkEnd w:id="42"/>
      <w:r>
        <w:rPr>
          <w:rFonts w:hint="eastAsia" w:ascii="宋体" w:hAnsi="宋体" w:cs="宋体"/>
          <w:sz w:val="24"/>
          <w:szCs w:val="24"/>
        </w:rPr>
        <w:t xml:space="preserve">及修改</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b/>
          <w:sz w:val="24"/>
          <w:szCs w:val="24"/>
        </w:rPr>
      </w:pPr>
      <w:r>
        <w:rPr>
          <w:rFonts w:hint="eastAsia" w:ascii="宋体" w:hAnsi="宋体" w:cs="宋体"/>
          <w:sz w:val="24"/>
          <w:szCs w:val="24"/>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bookmarkStart w:id="43" w:name="_Toc462564072"/>
      <w:r/>
      <w:bookmarkStart w:id="44" w:name="_Toc513029213"/>
      <w:r/>
      <w:bookmarkStart w:id="45" w:name="_Toc14577351"/>
      <w:r/>
      <w:bookmarkStart w:id="46" w:name="_Toc61149553"/>
      <w:r>
        <w:rPr>
          <w:rFonts w:hint="eastAsia" w:ascii="宋体" w:hAnsi="宋体" w:cs="宋体"/>
          <w:b/>
          <w:sz w:val="24"/>
          <w:szCs w:val="24"/>
        </w:rPr>
      </w:r>
      <w:r/>
    </w:p>
    <w:p>
      <w:pPr>
        <w:pStyle w:val="797"/>
        <w:ind w:firstLine="482"/>
        <w:spacing w:line="480" w:lineRule="auto"/>
        <w:tabs>
          <w:tab w:val="left" w:pos="900" w:leader="none"/>
        </w:tabs>
        <w:rPr>
          <w:rFonts w:hint="eastAsia" w:ascii="宋体" w:hAnsi="宋体" w:cs="宋体"/>
          <w:sz w:val="24"/>
          <w:szCs w:val="24"/>
        </w:rPr>
      </w:pPr>
      <w:r>
        <w:rPr>
          <w:rFonts w:hint="eastAsia" w:ascii="宋体" w:hAnsi="宋体" w:cs="宋体"/>
          <w:b/>
          <w:sz w:val="24"/>
          <w:szCs w:val="24"/>
        </w:rPr>
        <w:t xml:space="preserve">二、磋商响应文件的编制</w:t>
      </w:r>
      <w:bookmarkEnd w:id="43"/>
      <w:r/>
      <w:bookmarkEnd w:id="44"/>
      <w:r/>
      <w:bookmarkEnd w:id="45"/>
      <w:r/>
      <w:bookmarkEnd w:id="46"/>
      <w:r/>
      <w:bookmarkStart w:id="47" w:name="_Toc513029223"/>
      <w:r/>
      <w:bookmarkStart w:id="48" w:name="_Toc61149561"/>
      <w:r/>
      <w:bookmarkStart w:id="49" w:name="_Toc14577361"/>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b/>
          <w:bCs/>
          <w:color w:val="000000"/>
          <w:sz w:val="24"/>
          <w:szCs w:val="24"/>
          <w:lang w:val="zh-CN"/>
        </w:rPr>
      </w:pPr>
      <w:r/>
      <w:bookmarkEnd w:id="47"/>
      <w:r/>
      <w:bookmarkEnd w:id="48"/>
      <w:r/>
      <w:bookmarkEnd w:id="49"/>
      <w:r/>
      <w:bookmarkStart w:id="50" w:name="_Hlt26954834"/>
      <w:r/>
      <w:bookmarkEnd w:id="50"/>
      <w:r/>
      <w:bookmarkStart w:id="51" w:name="_Toc462564074"/>
      <w:r/>
      <w:bookmarkStart w:id="52" w:name="_Toc61149555"/>
      <w:r/>
      <w:bookmarkStart w:id="53" w:name="_Toc14577353"/>
      <w:r/>
      <w:bookmarkStart w:id="54" w:name="_Toc513029215"/>
      <w:r/>
      <w:bookmarkStart w:id="55" w:name="_Toc61149554"/>
      <w:r/>
      <w:bookmarkStart w:id="56" w:name="_Toc462564073"/>
      <w:r/>
      <w:bookmarkStart w:id="57" w:name="_Toc513029214"/>
      <w:r/>
      <w:bookmarkStart w:id="58" w:name="_Toc14577352"/>
      <w:r>
        <w:rPr>
          <w:rFonts w:hint="eastAsia" w:ascii="宋体" w:hAnsi="宋体" w:cs="宋体"/>
          <w:color w:val="000000"/>
          <w:sz w:val="24"/>
          <w:szCs w:val="24"/>
        </w:rPr>
        <w:t xml:space="preserve">1.</w:t>
      </w:r>
      <w:r>
        <w:rPr>
          <w:rFonts w:hint="eastAsia" w:ascii="宋体" w:hAnsi="宋体" w:cs="宋体"/>
          <w:b/>
          <w:bCs/>
          <w:color w:val="000000"/>
          <w:sz w:val="24"/>
          <w:szCs w:val="24"/>
        </w:rPr>
        <w:t xml:space="preserve">响应</w:t>
      </w:r>
      <w:r>
        <w:rPr>
          <w:rFonts w:hint="eastAsia" w:ascii="宋体" w:hAnsi="宋体" w:cs="宋体"/>
          <w:b/>
          <w:bCs/>
          <w:color w:val="000000"/>
          <w:sz w:val="24"/>
          <w:szCs w:val="24"/>
          <w:lang w:val="zh-CN"/>
        </w:rPr>
        <w:t xml:space="preserve">文件的制作要求</w:t>
      </w:r>
      <w:r>
        <w:rPr>
          <w:rFonts w:hint="eastAsia" w:ascii="宋体" w:hAnsi="宋体" w:cs="宋体"/>
          <w:b/>
          <w:bCs/>
          <w:color w:val="000000"/>
          <w:sz w:val="24"/>
          <w:szCs w:val="24"/>
          <w:lang w:val="zh-CN"/>
        </w:rPr>
      </w:r>
      <w:r/>
    </w:p>
    <w:p>
      <w:pPr>
        <w:pStyle w:val="797"/>
        <w:ind w:firstLine="482"/>
        <w:spacing w:line="480" w:lineRule="auto"/>
        <w:rPr>
          <w:rFonts w:hint="eastAsia" w:ascii="宋体"/>
          <w:b/>
          <w:bCs/>
          <w:color w:val="000000"/>
          <w:sz w:val="24"/>
          <w:szCs w:val="24"/>
        </w:rPr>
      </w:pPr>
      <w:r>
        <w:rPr>
          <w:rFonts w:hint="eastAsia" w:ascii="宋体"/>
          <w:b/>
          <w:bCs/>
          <w:color w:val="000000"/>
          <w:sz w:val="24"/>
          <w:szCs w:val="24"/>
        </w:rPr>
        <w:t xml:space="preserve">本次采购采用“苏采云”系统进行政府采购活动。</w:t>
      </w:r>
      <w:r>
        <w:rPr>
          <w:rFonts w:hint="eastAsia" w:ascii="宋体"/>
          <w:b/>
          <w:bCs/>
          <w:color w:val="000000"/>
          <w:sz w:val="24"/>
          <w:szCs w:val="24"/>
        </w:rPr>
      </w:r>
      <w:r/>
    </w:p>
    <w:p>
      <w:pPr>
        <w:pStyle w:val="820"/>
        <w:ind w:left="0" w:firstLine="482"/>
        <w:rPr>
          <w:rFonts w:ascii="宋体" w:hAnsi="宋体" w:cs="宋体"/>
          <w:b/>
          <w:bCs/>
          <w:i/>
          <w:iCs/>
          <w:color w:val="000000"/>
          <w:sz w:val="24"/>
          <w:szCs w:val="24"/>
        </w:rPr>
      </w:pPr>
      <w:r>
        <w:rPr>
          <w:rFonts w:ascii="宋体" w:hAnsi="宋体" w:cs="宋体"/>
          <w:b/>
          <w:bCs/>
          <w:i/>
          <w:iCs/>
          <w:color w:val="000000"/>
          <w:sz w:val="24"/>
          <w:szCs w:val="24"/>
        </w:rPr>
        <w:t xml:space="preserve">供应商</w:t>
      </w:r>
      <w:r>
        <w:rPr>
          <w:rFonts w:hint="eastAsia" w:ascii="宋体" w:hAnsi="宋体" w:cs="宋体"/>
          <w:b/>
          <w:bCs/>
          <w:i/>
          <w:iCs/>
          <w:color w:val="000000"/>
          <w:sz w:val="24"/>
          <w:szCs w:val="24"/>
        </w:rPr>
        <w:t xml:space="preserve">须在磋商文件公告发布之日起5个工作日内完成注册并办理CA证书后登录“苏采云”政府采购一体化平台，选择本项目点击“我要参与”并下载本项目采购文件，未按上述要求在规定时间内获取采购文件产生的后果由供应商自行承担。</w:t>
      </w:r>
      <w:r>
        <w:rPr>
          <w:rFonts w:ascii="宋体" w:hAnsi="宋体" w:cs="宋体"/>
          <w:b/>
          <w:bCs/>
          <w:i/>
          <w:iCs/>
          <w:color w:val="000000"/>
          <w:sz w:val="24"/>
          <w:szCs w:val="24"/>
        </w:rPr>
      </w:r>
      <w:r/>
    </w:p>
    <w:p>
      <w:pPr>
        <w:pStyle w:val="820"/>
        <w:ind w:left="0" w:firstLine="482"/>
        <w:rPr>
          <w:rFonts w:hint="eastAsia" w:ascii="宋体" w:hAnsi="宋体" w:cs="宋体"/>
          <w:b/>
          <w:bCs/>
          <w:color w:val="000000"/>
          <w:sz w:val="24"/>
          <w:szCs w:val="24"/>
        </w:rPr>
      </w:pPr>
      <w:r>
        <w:rPr>
          <w:rFonts w:ascii="宋体" w:hAnsi="宋体" w:cs="宋体"/>
          <w:b/>
          <w:bCs/>
          <w:color w:val="000000"/>
          <w:sz w:val="24"/>
          <w:szCs w:val="24"/>
        </w:rPr>
        <w:t xml:space="preserve">领取CA和办理电子签章</w:t>
      </w:r>
      <w:r>
        <w:rPr>
          <w:rFonts w:hint="eastAsia" w:ascii="宋体" w:hAnsi="宋体" w:cs="宋体"/>
          <w:b/>
          <w:bCs/>
          <w:color w:val="000000"/>
          <w:sz w:val="24"/>
          <w:szCs w:val="24"/>
          <w:lang w:val="en-US" w:eastAsia="zh-CN"/>
        </w:rPr>
        <w:t xml:space="preserve">可申请远程办理或现场办理（</w:t>
      </w:r>
      <w:r>
        <w:rPr>
          <w:rFonts w:ascii="宋体" w:hAnsi="宋体" w:cs="宋体"/>
          <w:b/>
          <w:bCs/>
          <w:color w:val="000000"/>
          <w:sz w:val="24"/>
          <w:szCs w:val="24"/>
        </w:rPr>
        <w:t xml:space="preserve">泰州市高港区泰州大道388号</w:t>
      </w:r>
      <w:r>
        <w:rPr>
          <w:rFonts w:hint="eastAsia" w:ascii="宋体" w:hAnsi="宋体" w:cs="宋体"/>
          <w:b/>
          <w:bCs/>
          <w:color w:val="000000"/>
          <w:sz w:val="24"/>
          <w:szCs w:val="24"/>
        </w:rPr>
        <w:t xml:space="preserve">（</w:t>
      </w:r>
      <w:r>
        <w:rPr>
          <w:rFonts w:ascii="宋体" w:hAnsi="宋体" w:cs="宋体"/>
          <w:b/>
          <w:bCs/>
          <w:color w:val="000000"/>
          <w:sz w:val="24"/>
          <w:szCs w:val="24"/>
        </w:rPr>
        <w:t xml:space="preserve">中国医药城会展交易中心W3馆西南角</w:t>
      </w:r>
      <w:r>
        <w:rPr>
          <w:rFonts w:hint="eastAsia" w:ascii="宋体" w:hAnsi="宋体" w:cs="宋体"/>
          <w:b/>
          <w:bCs/>
          <w:color w:val="000000"/>
          <w:sz w:val="24"/>
          <w:szCs w:val="24"/>
        </w:rPr>
        <w:t xml:space="preserve">）</w:t>
      </w:r>
      <w:r>
        <w:rPr>
          <w:rFonts w:ascii="宋体" w:hAnsi="宋体" w:cs="宋体"/>
          <w:b/>
          <w:bCs/>
          <w:color w:val="000000"/>
          <w:sz w:val="24"/>
          <w:szCs w:val="24"/>
        </w:rPr>
        <w:t xml:space="preserve">公共资源交易大厅6号窗口</w:t>
      </w:r>
      <w:r>
        <w:rPr>
          <w:rFonts w:hint="eastAsia" w:ascii="宋体" w:hAnsi="宋体" w:cs="宋体"/>
          <w:b/>
          <w:bCs/>
          <w:color w:val="000000"/>
          <w:sz w:val="24"/>
          <w:szCs w:val="24"/>
          <w:lang w:eastAsia="zh-CN"/>
        </w:rPr>
        <w:t xml:space="preserve">）</w:t>
      </w:r>
      <w:r>
        <w:rPr>
          <w:rFonts w:ascii="宋体" w:hAnsi="宋体" w:cs="宋体"/>
          <w:b/>
          <w:bCs/>
          <w:color w:val="000000"/>
          <w:sz w:val="24"/>
          <w:szCs w:val="24"/>
        </w:rPr>
        <w:t xml:space="preserve">，电话：0523-81568158，17327800634</w:t>
      </w:r>
      <w:r>
        <w:rPr>
          <w:rFonts w:hint="eastAsia" w:ascii="宋体" w:hAnsi="宋体" w:cs="宋体"/>
          <w:b/>
          <w:bCs/>
          <w:color w:val="000000"/>
          <w:sz w:val="24"/>
          <w:szCs w:val="24"/>
        </w:rPr>
        <w:t xml:space="preserve">。</w:t>
      </w:r>
      <w:r>
        <w:rPr>
          <w:rFonts w:hint="eastAsia" w:ascii="宋体" w:hAnsi="宋体" w:cs="宋体"/>
          <w:b/>
          <w:bCs/>
          <w:color w:val="000000"/>
          <w:sz w:val="24"/>
          <w:szCs w:val="24"/>
        </w:rPr>
      </w:r>
      <w:r/>
    </w:p>
    <w:p>
      <w:pPr>
        <w:pStyle w:val="820"/>
        <w:ind w:left="0" w:firstLine="482"/>
        <w:rPr>
          <w:rFonts w:ascii="宋体" w:hAnsi="宋体" w:cs="宋体"/>
          <w:b/>
          <w:bCs/>
          <w:color w:val="000000"/>
          <w:sz w:val="24"/>
          <w:szCs w:val="24"/>
        </w:rPr>
      </w:pPr>
      <w:r>
        <w:rPr>
          <w:rFonts w:hint="eastAsia" w:ascii="宋体" w:hAnsi="宋体" w:cs="宋体"/>
          <w:b/>
          <w:bCs/>
          <w:color w:val="000000"/>
          <w:sz w:val="24"/>
          <w:szCs w:val="24"/>
        </w:rPr>
        <w:t xml:space="preserve">江苏省政府采购管理交易系统（苏采云）供应商操作指南详见：</w:t>
      </w:r>
      <w:r>
        <w:rPr>
          <w:rFonts w:ascii="宋体" w:hAnsi="宋体" w:cs="宋体"/>
          <w:b/>
          <w:bCs/>
          <w:color w:val="000000"/>
          <w:sz w:val="24"/>
          <w:szCs w:val="24"/>
        </w:rPr>
        <w:fldChar w:fldCharType="begin"/>
      </w:r>
      <w:r>
        <w:rPr>
          <w:rFonts w:ascii="宋体" w:hAnsi="宋体" w:cs="宋体"/>
          <w:b/>
          <w:bCs/>
          <w:color w:val="000000"/>
          <w:sz w:val="24"/>
          <w:szCs w:val="24"/>
        </w:rPr>
        <w:instrText xml:space="preserve"> HYPERLINK "http://www.ccgp-jiangsu.gov.cn/jiangsu/zlxz/ee/ee3a4bc5a3454aa2b0d9312230633ce9.html》" </w:instrText>
      </w:r>
      <w:r>
        <w:rPr>
          <w:rFonts w:ascii="宋体" w:hAnsi="宋体" w:cs="宋体"/>
          <w:b/>
          <w:bCs/>
          <w:color w:val="000000"/>
          <w:sz w:val="24"/>
          <w:szCs w:val="24"/>
        </w:rPr>
        <w:fldChar w:fldCharType="separate"/>
      </w:r>
      <w:r>
        <w:rPr>
          <w:rStyle w:val="846"/>
          <w:rFonts w:ascii="宋体" w:hAnsi="宋体" w:cs="宋体"/>
          <w:b/>
          <w:bCs/>
          <w:color w:val="000000"/>
          <w:sz w:val="24"/>
          <w:szCs w:val="24"/>
        </w:rPr>
        <w:t xml:space="preserve">http://www.ccgp-jiangsu.gov.cn/jiangsu/zlxz/ee/ee3a4bc5a3454aa2b0d9312230633ce9.html》</w:t>
      </w:r>
      <w:r>
        <w:rPr>
          <w:rFonts w:ascii="宋体" w:hAnsi="宋体" w:cs="宋体"/>
          <w:b/>
          <w:bCs/>
          <w:color w:val="000000"/>
          <w:sz w:val="24"/>
          <w:szCs w:val="24"/>
        </w:rPr>
        <w:fldChar w:fldCharType="end"/>
      </w:r>
      <w:r>
        <w:rPr>
          <w:rFonts w:ascii="宋体" w:hAnsi="宋体" w:cs="宋体"/>
          <w:b/>
          <w:bCs/>
          <w:color w:val="000000"/>
          <w:sz w:val="24"/>
          <w:szCs w:val="24"/>
        </w:rPr>
      </w:r>
      <w:r/>
    </w:p>
    <w:p>
      <w:pPr>
        <w:pStyle w:val="820"/>
        <w:ind w:left="0" w:firstLine="482"/>
        <w:rPr>
          <w:rFonts w:ascii="宋体" w:hAnsi="宋体" w:cs="宋体"/>
          <w:b/>
          <w:bCs/>
          <w:color w:val="000000"/>
          <w:sz w:val="24"/>
          <w:szCs w:val="24"/>
        </w:rPr>
      </w:pPr>
      <w:r>
        <w:rPr>
          <w:rFonts w:ascii="宋体" w:hAnsi="宋体" w:cs="宋体"/>
          <w:b/>
          <w:bCs/>
          <w:color w:val="000000"/>
          <w:sz w:val="24"/>
          <w:szCs w:val="24"/>
        </w:rPr>
        <w:t xml:space="preserve">“苏采云”</w:t>
      </w:r>
      <w:r>
        <w:rPr>
          <w:rFonts w:hint="eastAsia" w:ascii="宋体" w:hAnsi="宋体" w:cs="宋体"/>
          <w:b/>
          <w:bCs/>
          <w:color w:val="000000"/>
          <w:sz w:val="24"/>
          <w:szCs w:val="24"/>
        </w:rPr>
        <w:t xml:space="preserve">网址：</w:t>
      </w:r>
      <w:r>
        <w:rPr>
          <w:rFonts w:ascii="宋体" w:hAnsi="宋体" w:cs="宋体"/>
          <w:b/>
          <w:bCs/>
          <w:color w:val="000000"/>
          <w:sz w:val="24"/>
          <w:szCs w:val="24"/>
        </w:rPr>
        <w:fldChar w:fldCharType="begin"/>
      </w:r>
      <w:r>
        <w:rPr>
          <w:rFonts w:ascii="宋体" w:hAnsi="宋体" w:cs="宋体"/>
          <w:b/>
          <w:bCs/>
          <w:color w:val="000000"/>
          <w:sz w:val="24"/>
          <w:szCs w:val="24"/>
        </w:rPr>
        <w:instrText xml:space="preserve"> HYPERLINK "http://jszfcg.jsczt.cn/jszc/login" </w:instrText>
      </w:r>
      <w:r>
        <w:rPr>
          <w:rFonts w:ascii="宋体" w:hAnsi="宋体" w:cs="宋体"/>
          <w:b/>
          <w:bCs/>
          <w:color w:val="000000"/>
          <w:sz w:val="24"/>
          <w:szCs w:val="24"/>
        </w:rPr>
        <w:fldChar w:fldCharType="separate"/>
      </w:r>
      <w:r>
        <w:rPr>
          <w:rStyle w:val="846"/>
          <w:rFonts w:ascii="宋体" w:hAnsi="宋体" w:cs="宋体"/>
          <w:b/>
          <w:bCs/>
          <w:color w:val="000000"/>
          <w:sz w:val="24"/>
          <w:szCs w:val="24"/>
        </w:rPr>
        <w:t xml:space="preserve">http://jszfcg.jsczt.cn/jszc/login</w:t>
      </w:r>
      <w:r>
        <w:rPr>
          <w:rFonts w:ascii="宋体" w:hAnsi="宋体" w:cs="宋体"/>
          <w:b/>
          <w:bCs/>
          <w:color w:val="000000"/>
          <w:sz w:val="24"/>
          <w:szCs w:val="24"/>
        </w:rPr>
        <w:fldChar w:fldCharType="end"/>
      </w:r>
      <w:r>
        <w:rPr>
          <w:rFonts w:ascii="宋体" w:hAnsi="宋体" w:cs="宋体"/>
          <w:b/>
          <w:bCs/>
          <w:color w:val="000000"/>
          <w:sz w:val="24"/>
          <w:szCs w:val="24"/>
        </w:rPr>
      </w:r>
      <w:r/>
    </w:p>
    <w:p>
      <w:pPr>
        <w:pStyle w:val="820"/>
        <w:ind w:left="0" w:firstLine="482"/>
        <w:rPr>
          <w:b/>
          <w:bCs/>
          <w:color w:val="000000"/>
        </w:rPr>
      </w:pPr>
      <w:r>
        <w:rPr>
          <w:rFonts w:hint="eastAsia" w:ascii="宋体" w:hAnsi="宋体" w:cs="宋体"/>
          <w:b/>
          <w:bCs/>
          <w:color w:val="000000"/>
          <w:sz w:val="24"/>
          <w:szCs w:val="24"/>
        </w:rPr>
        <w:t xml:space="preserve">供应商须认真阅读操作指南，</w:t>
      </w:r>
      <w:r>
        <w:rPr>
          <w:rFonts w:ascii="宋体" w:hAnsi="宋体" w:cs="宋体"/>
          <w:b/>
          <w:bCs/>
          <w:color w:val="000000"/>
          <w:sz w:val="24"/>
          <w:szCs w:val="24"/>
        </w:rPr>
        <w:t xml:space="preserve">按要求制作、上传电子响应文件（技术支持电话：0523-87633965、0523-86897512；客服QQ：709339244、1195486789。有关本次</w:t>
      </w:r>
      <w:r>
        <w:rPr>
          <w:rFonts w:hint="eastAsia" w:ascii="宋体" w:hAnsi="宋体" w:cs="宋体"/>
          <w:b/>
          <w:bCs/>
          <w:color w:val="000000"/>
          <w:sz w:val="24"/>
          <w:szCs w:val="24"/>
        </w:rPr>
        <w:t xml:space="preserve">采购</w:t>
      </w:r>
      <w:r>
        <w:rPr>
          <w:rFonts w:ascii="宋体" w:hAnsi="宋体" w:cs="宋体"/>
          <w:b/>
          <w:bCs/>
          <w:color w:val="000000"/>
          <w:sz w:val="24"/>
          <w:szCs w:val="24"/>
        </w:rPr>
        <w:t xml:space="preserve">的事项若存在变动或修改，敬请及时关注“江苏政府采购网”发布的更正公告。</w:t>
      </w:r>
      <w:r>
        <w:rPr>
          <w:b/>
          <w:bCs/>
          <w:color w:val="000000"/>
        </w:rPr>
      </w:r>
      <w:r/>
    </w:p>
    <w:p>
      <w:pPr>
        <w:pStyle w:val="797"/>
        <w:ind w:firstLine="482"/>
        <w:spacing w:line="360" w:lineRule="auto"/>
        <w:rPr>
          <w:rFonts w:hint="eastAsia" w:ascii="宋体" w:hAnsi="宋体" w:cs="宋体"/>
          <w:i/>
          <w:iCs/>
          <w:sz w:val="24"/>
          <w:szCs w:val="24"/>
        </w:rPr>
      </w:pPr>
      <w:r>
        <w:rPr>
          <w:rFonts w:hint="eastAsia" w:ascii="宋体" w:hAnsi="宋体" w:cs="宋体"/>
          <w:b/>
          <w:i/>
          <w:iCs/>
          <w:color w:val="000000"/>
          <w:sz w:val="24"/>
          <w:szCs w:val="24"/>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i/>
          <w:iCs/>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2.响应文件</w:t>
      </w:r>
      <w:bookmarkEnd w:id="51"/>
      <w:r/>
      <w:bookmarkEnd w:id="52"/>
      <w:r/>
      <w:bookmarkEnd w:id="53"/>
      <w:r/>
      <w:bookmarkEnd w:id="54"/>
      <w:r>
        <w:rPr>
          <w:rFonts w:hint="eastAsia" w:ascii="宋体" w:hAnsi="宋体" w:cs="宋体"/>
          <w:sz w:val="24"/>
          <w:szCs w:val="24"/>
        </w:rPr>
        <w:t xml:space="preserve">编制要求</w:t>
      </w:r>
      <w:r>
        <w:rPr>
          <w:rFonts w:hint="eastAsia" w:ascii="宋体" w:hAnsi="宋体" w:cs="宋体"/>
          <w:sz w:val="24"/>
          <w:szCs w:val="24"/>
        </w:rPr>
      </w:r>
      <w:r/>
    </w:p>
    <w:p>
      <w:pPr>
        <w:pStyle w:val="797"/>
        <w:ind w:firstLine="480"/>
        <w:spacing w:line="480" w:lineRule="auto"/>
        <w:tabs>
          <w:tab w:val="left" w:pos="900" w:leader="none"/>
        </w:tabs>
        <w:rPr>
          <w:rFonts w:ascii="宋体" w:hAnsi="宋体" w:cs="宋体"/>
          <w:sz w:val="24"/>
          <w:szCs w:val="24"/>
        </w:rPr>
      </w:pPr>
      <w:r>
        <w:rPr>
          <w:rFonts w:hint="eastAsia" w:ascii="宋体" w:hAnsi="宋体" w:cs="宋体"/>
          <w:sz w:val="24"/>
          <w:szCs w:val="24"/>
        </w:rPr>
        <w:t xml:space="preserve">2.1磋商供应商提交的响应文件以及其与代理机构及采购人就有关磋商的所有来往函电均应使用简体中文。磋商文件中既有中文也有外文的，以中文意义为准；</w:t>
      </w:r>
      <w:r>
        <w:rPr>
          <w:rFonts w:hint="eastAsia" w:ascii="宋体" w:hAnsi="宋体" w:cs="宋体"/>
          <w:b/>
          <w:bCs/>
          <w:sz w:val="24"/>
          <w:szCs w:val="24"/>
        </w:rPr>
        <w:t xml:space="preserve">并须提供中文翻译件，否则视为未提供。</w:t>
      </w:r>
      <w:r>
        <w:rPr>
          <w:rFonts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2.2除技术性能另有规定外，响应文件所使用的度量衡单位，均须采用国家法定计量单位。</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bookmarkEnd w:id="55"/>
      <w:r/>
      <w:bookmarkEnd w:id="56"/>
      <w:r/>
      <w:bookmarkEnd w:id="57"/>
      <w:r/>
      <w:bookmarkEnd w:id="58"/>
      <w:r/>
      <w:bookmarkStart w:id="59" w:name="_Hlt26954836"/>
      <w:r/>
      <w:bookmarkEnd w:id="59"/>
      <w:r/>
      <w:bookmarkStart w:id="60" w:name="_Hlt26670357"/>
      <w:r/>
      <w:bookmarkEnd w:id="60"/>
      <w:r/>
      <w:bookmarkStart w:id="61" w:name="_Toc513029219"/>
      <w:r/>
      <w:bookmarkStart w:id="62" w:name="_Toc14577357"/>
      <w:r/>
      <w:bookmarkStart w:id="63" w:name="_Toc61149558"/>
      <w:r/>
      <w:bookmarkStart w:id="64" w:name="_Toc14577355"/>
      <w:r/>
      <w:bookmarkStart w:id="65" w:name="_Toc61149557"/>
      <w:r/>
      <w:bookmarkStart w:id="66" w:name="_Toc513029217"/>
      <w:r>
        <w:rPr>
          <w:rFonts w:hint="eastAsia" w:ascii="宋体" w:hAnsi="宋体" w:cs="宋体"/>
          <w:sz w:val="24"/>
          <w:szCs w:val="24"/>
        </w:rPr>
        <w:t xml:space="preserve">2.3响应文件构成</w:t>
      </w:r>
      <w:r>
        <w:rPr>
          <w:rFonts w:hint="eastAsia" w:ascii="宋体" w:hAnsi="宋体" w:cs="宋体"/>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rPr>
        <w:t xml:space="preserve">供应商应认真阅读和理解磋商文件，并按磋商文件的要求编制响应文件；响应文件应对磋商文件作实质性响应，并保证所提供资料的真实性。</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bookmarkEnd w:id="61"/>
      <w:r/>
      <w:bookmarkEnd w:id="62"/>
      <w:r/>
      <w:bookmarkEnd w:id="63"/>
      <w:r/>
      <w:bookmarkStart w:id="67" w:name="_Hlt26668999"/>
      <w:r/>
      <w:bookmarkEnd w:id="67"/>
      <w:r>
        <w:rPr>
          <w:rFonts w:hint="eastAsia" w:ascii="宋体" w:hAnsi="宋体" w:cs="宋体"/>
          <w:sz w:val="24"/>
          <w:szCs w:val="24"/>
        </w:rPr>
        <w:t xml:space="preserve">磋商供应商编写的响应文件应包括但并不限于以下列部分：</w:t>
      </w:r>
      <w:r>
        <w:rPr>
          <w:rFonts w:hint="eastAsia" w:ascii="宋体" w:hAnsi="宋体" w:cs="宋体"/>
          <w:sz w:val="24"/>
          <w:szCs w:val="24"/>
        </w:rPr>
      </w:r>
      <w:r/>
    </w:p>
    <w:p>
      <w:pPr>
        <w:pStyle w:val="797"/>
        <w:ind w:firstLine="480"/>
        <w:spacing w:line="360" w:lineRule="auto"/>
        <w:rPr>
          <w:rFonts w:hint="eastAsia" w:ascii="宋体" w:hAnsi="宋体" w:cs="宋体"/>
          <w:b/>
          <w:bCs/>
          <w:sz w:val="24"/>
          <w:szCs w:val="24"/>
        </w:rPr>
      </w:pPr>
      <w:r>
        <w:rPr>
          <w:rFonts w:hint="eastAsia" w:ascii="宋体" w:hAnsi="宋体" w:cs="宋体"/>
          <w:b/>
          <w:bCs/>
          <w:sz w:val="24"/>
          <w:szCs w:val="24"/>
        </w:rPr>
        <w:t xml:space="preserve">资格条件证明文件：</w:t>
      </w:r>
      <w:r>
        <w:rPr>
          <w:rFonts w:hint="eastAsia" w:ascii="宋体" w:hAnsi="宋体" w:cs="宋体"/>
          <w:b/>
          <w:bCs/>
          <w:sz w:val="24"/>
          <w:szCs w:val="24"/>
        </w:rPr>
      </w:r>
      <w:r/>
    </w:p>
    <w:p>
      <w:pPr>
        <w:pStyle w:val="79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w:t>
      </w:r>
      <w:r>
        <w:rPr>
          <w:rFonts w:hint="eastAsia" w:ascii="宋体" w:hAnsi="宋体" w:cs="宋体"/>
          <w:bCs/>
          <w:color w:val="000000"/>
          <w:sz w:val="24"/>
          <w:szCs w:val="24"/>
        </w:rPr>
        <w:t xml:space="preserve">提供法人或者其他组织的营业执照等证明文件，自然人的身份证明</w:t>
      </w:r>
      <w:r>
        <w:rPr>
          <w:rFonts w:hint="eastAsia" w:ascii="宋体" w:hAnsi="宋体" w:cs="宋体"/>
          <w:color w:val="000000"/>
          <w:sz w:val="24"/>
          <w:szCs w:val="24"/>
        </w:rPr>
        <w:t xml:space="preserve">（扫描件加盖投标人电子公章）。</w:t>
      </w:r>
      <w:r>
        <w:rPr>
          <w:rFonts w:hint="eastAsia" w:ascii="宋体" w:hAnsi="宋体" w:cs="宋体"/>
          <w:color w:val="000000"/>
          <w:sz w:val="24"/>
          <w:szCs w:val="24"/>
        </w:rPr>
      </w:r>
      <w:r/>
    </w:p>
    <w:p>
      <w:pPr>
        <w:pStyle w:val="797"/>
        <w:ind w:firstLine="480"/>
        <w:spacing w:line="360" w:lineRule="auto"/>
        <w:rPr>
          <w:rFonts w:hint="eastAsia"/>
          <w:color w:val="000000"/>
          <w:sz w:val="24"/>
          <w:szCs w:val="24"/>
        </w:rPr>
      </w:pPr>
      <w:r>
        <w:rPr>
          <w:rFonts w:hint="eastAsia" w:ascii="宋体" w:hAnsi="宋体" w:cs="宋体"/>
          <w:color w:val="000000"/>
          <w:sz w:val="24"/>
          <w:szCs w:val="24"/>
        </w:rPr>
        <w:t xml:space="preserve">（2）★具有良好的商业信誉和健全的财务会计制度：提供2024年度的财务状况报告（提供审计报告或财务报表，成立不满一年不需提供）。</w:t>
      </w:r>
      <w:r>
        <w:rPr>
          <w:rFonts w:hint="eastAsia"/>
          <w:color w:val="000000"/>
          <w:sz w:val="24"/>
          <w:szCs w:val="24"/>
        </w:rPr>
      </w:r>
      <w:r/>
    </w:p>
    <w:p>
      <w:pPr>
        <w:pStyle w:val="79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2025年1月以来不少于1个月依法缴纳税收（不包括个人所得税）的相关材料，如依法免税或不需要纳税的，则应提供相应证明材料复印件；提供2025年1月以来不少于1个月的依法缴纳社会保障资金的相关材料，如依法不需要缴纳社会保障资金的，则应提供相应证明材料扫描件；</w:t>
      </w:r>
      <w:r>
        <w:rPr>
          <w:rFonts w:hint="eastAsia" w:ascii="宋体" w:hAnsi="宋体" w:cs="宋体"/>
          <w:b/>
          <w:bCs/>
          <w:color w:val="000000"/>
          <w:sz w:val="24"/>
          <w:szCs w:val="24"/>
        </w:rPr>
        <w:t xml:space="preserve">成立距响应文件递交截止不足30日供应商可不提供该项材料。</w:t>
      </w:r>
      <w:r>
        <w:rPr>
          <w:rFonts w:ascii="宋体" w:hAnsi="宋体" w:cs="宋体"/>
          <w:color w:val="000000"/>
          <w:sz w:val="24"/>
          <w:szCs w:val="24"/>
        </w:rPr>
      </w:r>
      <w:r/>
    </w:p>
    <w:p>
      <w:pPr>
        <w:pStyle w:val="797"/>
        <w:ind w:firstLine="480"/>
        <w:spacing w:line="360" w:lineRule="auto"/>
        <w:rPr>
          <w:rFonts w:hint="eastAsia"/>
          <w:color w:val="000000"/>
          <w:sz w:val="24"/>
          <w:szCs w:val="24"/>
        </w:rPr>
      </w:pPr>
      <w:r>
        <w:rPr>
          <w:rFonts w:hint="eastAsia" w:ascii="宋体" w:hAnsi="宋体" w:cs="宋体"/>
          <w:color w:val="000000"/>
          <w:sz w:val="24"/>
          <w:szCs w:val="24"/>
        </w:rPr>
        <w:t xml:space="preserve">（4）★具有履行合同所必需的设备和专业技术能力：提供证明材料，格式自定</w:t>
      </w:r>
      <w:r>
        <w:rPr>
          <w:rFonts w:hint="eastAsia" w:ascii="宋体" w:hAnsi="宋体" w:cs="宋体"/>
          <w:b/>
          <w:bCs/>
          <w:color w:val="000000"/>
          <w:sz w:val="24"/>
          <w:szCs w:val="24"/>
        </w:rPr>
        <w:t xml:space="preserve">。</w:t>
      </w:r>
      <w:r>
        <w:rPr>
          <w:rFonts w:hint="eastAsia"/>
          <w:color w:val="000000"/>
          <w:sz w:val="24"/>
          <w:szCs w:val="24"/>
        </w:rPr>
      </w:r>
      <w:r/>
    </w:p>
    <w:p>
      <w:pPr>
        <w:pStyle w:val="797"/>
        <w:ind w:firstLine="480"/>
        <w:spacing w:line="360" w:lineRule="auto"/>
        <w:rPr>
          <w:rFonts w:hint="eastAsia" w:ascii="宋体" w:hAnsi="宋体" w:cs="宋体"/>
          <w:b/>
          <w:bCs/>
          <w:color w:val="000000"/>
          <w:sz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b/>
          <w:bCs/>
          <w:color w:val="000000"/>
          <w:sz w:val="24"/>
        </w:rPr>
        <w:t xml:space="preserve"> </w:t>
      </w:r>
      <w:r>
        <w:rPr>
          <w:rFonts w:hint="eastAsia" w:ascii="宋体" w:hAnsi="宋体" w:cs="宋体"/>
          <w:b/>
          <w:bCs/>
          <w:color w:val="000000"/>
          <w:sz w:val="24"/>
        </w:rPr>
      </w:r>
      <w:r/>
    </w:p>
    <w:p>
      <w:pPr>
        <w:pStyle w:val="797"/>
        <w:ind w:firstLine="480"/>
        <w:spacing w:line="48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（6）★法律、行政法规规定的其他条件</w:t>
      </w:r>
      <w:r>
        <w:rPr>
          <w:rFonts w:hint="eastAsia" w:ascii="宋体" w:hAnsi="宋体" w:cs="宋体"/>
          <w:color w:val="000000"/>
          <w:sz w:val="24"/>
          <w:szCs w:val="24"/>
          <w:lang w:eastAsia="zh-CN"/>
        </w:rPr>
        <w:t xml:space="preserve">：</w:t>
      </w:r>
      <w:r>
        <w:rPr>
          <w:rFonts w:hint="eastAsia" w:ascii="宋体" w:hAnsi="宋体" w:cs="宋体"/>
          <w:sz w:val="24"/>
          <w:szCs w:val="24"/>
        </w:rPr>
        <w:t xml:space="preserve">投标人必须是经过国家保险监督管理机构批准的、具有经营人身意外伤害保险业务资格的保险机构。（提供有效证明材料）</w:t>
      </w:r>
      <w:r>
        <w:rPr>
          <w:rFonts w:hint="eastAsia" w:ascii="宋体" w:hAnsi="宋体" w:eastAsia="宋体" w:cs="宋体"/>
          <w:color w:val="000000"/>
          <w:sz w:val="24"/>
          <w:szCs w:val="24"/>
          <w:lang w:eastAsia="zh-CN"/>
        </w:rPr>
      </w:r>
      <w:r/>
    </w:p>
    <w:p>
      <w:pPr>
        <w:pStyle w:val="79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（7）中小企业声明函、残疾人福利性单位声明、监狱企业证明材料。</w:t>
      </w:r>
      <w:r>
        <w:rPr>
          <w:rFonts w:hint="eastAsia" w:ascii="宋体" w:hAnsi="宋体" w:cs="宋体"/>
          <w:color w:val="000000"/>
          <w:sz w:val="24"/>
          <w:szCs w:val="24"/>
        </w:rPr>
      </w:r>
      <w:r/>
    </w:p>
    <w:p>
      <w:pPr>
        <w:pStyle w:val="79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根据《财政部关于在政府采购活动中查询及使用信用记录有关问题的通知》（财库〔2016〕125号）规定，开标结束后，采购人、采购代理机构将通过“信用中国”网站（www.creditchina.gov.cn）、中国政府采购网（www.ccgp.gov.cn），对投标人截止到投标截止时间的信用记录进行审查，对列入失信被执行人、重大税收违法案件当事人名单、政府采购严重违法失信行为记录名单及其他不符合《中华人民共和国政府采购法》第二十二条规定条件的投标人，其投标将被拒绝。</w:t>
      </w:r>
      <w:r>
        <w:rPr>
          <w:rFonts w:hint="eastAsia" w:ascii="宋体" w:hAnsi="宋体" w:cs="宋体"/>
          <w:color w:val="000000"/>
          <w:sz w:val="24"/>
          <w:szCs w:val="24"/>
        </w:rPr>
      </w:r>
      <w:r/>
    </w:p>
    <w:p>
      <w:pPr>
        <w:pStyle w:val="79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本次查询的信用记录仅限于本项目使用，查询结果将留存在采购档案中。</w:t>
      </w:r>
      <w:r>
        <w:rPr>
          <w:rFonts w:hint="eastAsia" w:ascii="宋体" w:hAnsi="宋体" w:cs="宋体"/>
          <w:color w:val="000000"/>
          <w:sz w:val="24"/>
          <w:szCs w:val="24"/>
        </w:rPr>
      </w:r>
      <w:r/>
    </w:p>
    <w:p>
      <w:pPr>
        <w:pStyle w:val="797"/>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在上述指定网站不能查询信用信息的投标人，供应商应提供相关证明材料（原件加盖公章）。</w:t>
      </w:r>
      <w:r>
        <w:rPr>
          <w:rFonts w:hint="eastAsia" w:ascii="宋体" w:hAnsi="宋体" w:cs="宋体"/>
          <w:b/>
          <w:bCs/>
          <w:color w:val="000000"/>
          <w:sz w:val="24"/>
          <w:szCs w:val="24"/>
        </w:rPr>
      </w:r>
      <w:r/>
    </w:p>
    <w:p>
      <w:pPr>
        <w:pStyle w:val="797"/>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9）★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提供声明函。</w:t>
      </w:r>
      <w:r>
        <w:rPr>
          <w:rFonts w:hint="eastAsia" w:ascii="宋体" w:hAnsi="宋体" w:cs="宋体"/>
          <w:sz w:val="24"/>
          <w:szCs w:val="24"/>
        </w:rPr>
      </w:r>
      <w:r/>
    </w:p>
    <w:p>
      <w:pPr>
        <w:pStyle w:val="79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符合性审查文件：</w:t>
      </w:r>
      <w:r>
        <w:rPr>
          <w:rFonts w:hint="eastAsia" w:ascii="宋体" w:hAnsi="宋体" w:cs="宋体"/>
          <w:b/>
          <w:bCs/>
          <w:sz w:val="24"/>
          <w:szCs w:val="24"/>
        </w:rPr>
      </w:r>
      <w:r/>
    </w:p>
    <w:p>
      <w:pPr>
        <w:pStyle w:val="797"/>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szCs w:val="24"/>
        </w:rPr>
        <w:t xml:space="preserve">★磋商响应函</w:t>
      </w:r>
      <w:r>
        <w:rPr>
          <w:rFonts w:hint="eastAsia" w:ascii="宋体" w:hAnsi="宋体" w:cs="宋体"/>
          <w:sz w:val="24"/>
        </w:rPr>
        <w:t xml:space="preserve">；</w:t>
      </w:r>
      <w:r>
        <w:rPr>
          <w:rFonts w:hint="eastAsia" w:ascii="宋体" w:hAnsi="宋体" w:cs="宋体"/>
          <w:sz w:val="24"/>
        </w:rPr>
      </w:r>
      <w:r/>
    </w:p>
    <w:p>
      <w:pPr>
        <w:pStyle w:val="797"/>
        <w:ind w:firstLine="480"/>
        <w:spacing w:line="360" w:lineRule="auto"/>
        <w:rPr>
          <w:rFonts w:hint="eastAsia"/>
          <w:sz w:val="24"/>
          <w:szCs w:val="24"/>
        </w:rPr>
      </w:pPr>
      <w:r>
        <w:rPr>
          <w:rFonts w:hint="eastAsia" w:ascii="宋体" w:hAnsi="宋体" w:cs="宋体"/>
          <w:sz w:val="24"/>
          <w:szCs w:val="24"/>
        </w:rPr>
        <w:t xml:space="preserve">（2）★投标人法定代表人</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负责人</w:t>
      </w:r>
      <w:r>
        <w:rPr>
          <w:rFonts w:hint="eastAsia" w:ascii="宋体" w:hAnsi="宋体" w:cs="宋体"/>
          <w:sz w:val="24"/>
          <w:szCs w:val="24"/>
          <w:lang w:eastAsia="zh-CN"/>
        </w:rPr>
        <w:t xml:space="preserve">）</w:t>
      </w:r>
      <w:r>
        <w:rPr>
          <w:rFonts w:hint="eastAsia" w:ascii="宋体" w:hAnsi="宋体" w:cs="宋体"/>
          <w:sz w:val="24"/>
          <w:szCs w:val="24"/>
        </w:rPr>
        <w:t xml:space="preserve">授权委托书（格式见附件，法定代表人亲自参加投标的除外）；投标人法定代表人身份证复印件、投标人法定代表人授权代表身份证复印件（法定代表人亲自参加投标的除外）；</w:t>
      </w:r>
      <w:r>
        <w:rPr>
          <w:rFonts w:hint="eastAsia"/>
          <w:sz w:val="24"/>
          <w:szCs w:val="24"/>
        </w:rPr>
      </w:r>
      <w:r/>
    </w:p>
    <w:p>
      <w:pPr>
        <w:pStyle w:val="797"/>
        <w:ind w:firstLine="480"/>
        <w:spacing w:line="360" w:lineRule="auto"/>
        <w:rPr>
          <w:rFonts w:hint="eastAsia" w:ascii="宋体" w:hAnsi="宋体" w:cs="宋体"/>
          <w:sz w:val="24"/>
          <w:szCs w:val="24"/>
        </w:rPr>
      </w:pPr>
      <w:r>
        <w:rPr>
          <w:rFonts w:hint="eastAsia" w:ascii="宋体" w:hAnsi="宋体" w:cs="宋体"/>
          <w:sz w:val="24"/>
          <w:szCs w:val="24"/>
        </w:rPr>
        <w:t xml:space="preserve">（3）★商务条款响应表；</w:t>
      </w:r>
      <w:r>
        <w:rPr>
          <w:rFonts w:hint="eastAsia" w:ascii="宋体" w:hAnsi="宋体" w:cs="宋体"/>
          <w:sz w:val="24"/>
          <w:szCs w:val="24"/>
        </w:rPr>
      </w:r>
      <w:r/>
    </w:p>
    <w:p>
      <w:pPr>
        <w:pStyle w:val="797"/>
        <w:ind w:firstLine="480"/>
        <w:spacing w:line="360" w:lineRule="auto"/>
        <w:rPr>
          <w:rFonts w:hint="eastAsia" w:ascii="宋体" w:hAnsi="宋体" w:cs="宋体"/>
          <w:sz w:val="24"/>
          <w:szCs w:val="24"/>
        </w:rPr>
      </w:pPr>
      <w:r>
        <w:rPr>
          <w:rFonts w:hint="eastAsia" w:ascii="宋体" w:hAnsi="宋体" w:cs="宋体"/>
          <w:sz w:val="24"/>
          <w:szCs w:val="24"/>
        </w:rPr>
        <w:t xml:space="preserve">（4）★采购需求响应及偏离表；</w:t>
      </w:r>
      <w:r>
        <w:rPr>
          <w:rFonts w:hint="eastAsia" w:ascii="宋体" w:hAnsi="宋体" w:cs="宋体"/>
          <w:sz w:val="24"/>
          <w:szCs w:val="24"/>
        </w:rPr>
      </w:r>
      <w:r/>
    </w:p>
    <w:p>
      <w:pPr>
        <w:pStyle w:val="797"/>
        <w:ind w:firstLine="480"/>
        <w:spacing w:line="360" w:lineRule="auto"/>
        <w:rPr>
          <w:rFonts w:hint="eastAsia" w:ascii="宋体" w:hAnsi="宋体" w:cs="宋体"/>
          <w:sz w:val="24"/>
          <w:szCs w:val="24"/>
        </w:rPr>
      </w:pPr>
      <w:r>
        <w:rPr>
          <w:rFonts w:hint="eastAsia" w:ascii="宋体" w:hAnsi="宋体" w:cs="宋体"/>
          <w:sz w:val="24"/>
          <w:szCs w:val="24"/>
        </w:rPr>
        <w:t xml:space="preserve">（5）投标人认为需要提供的其他说明和资料；</w:t>
      </w:r>
      <w:r>
        <w:rPr>
          <w:rFonts w:hint="eastAsia" w:ascii="宋体" w:hAnsi="宋体" w:cs="宋体"/>
          <w:sz w:val="24"/>
          <w:szCs w:val="24"/>
        </w:rPr>
      </w:r>
      <w:r/>
    </w:p>
    <w:p>
      <w:pPr>
        <w:pStyle w:val="797"/>
        <w:ind w:left="-2" w:right="210" w:firstLine="482"/>
        <w:jc w:val="left"/>
        <w:keepLines/>
        <w:keepNext/>
        <w:spacing w:before="50"/>
        <w:rPr>
          <w:rFonts w:hint="eastAsia" w:ascii="宋体" w:hAnsi="宋体" w:cs="宋体"/>
          <w:b/>
          <w:bCs/>
          <w:sz w:val="24"/>
          <w:szCs w:val="24"/>
        </w:rPr>
        <w:outlineLvl w:val="1"/>
      </w:pPr>
      <w:r>
        <w:rPr>
          <w:rFonts w:hint="eastAsia" w:ascii="宋体" w:hAnsi="宋体" w:cs="宋体"/>
          <w:b/>
          <w:bCs/>
          <w:sz w:val="24"/>
          <w:szCs w:val="24"/>
        </w:rPr>
        <w:t xml:space="preserve">综合评审评分项：</w:t>
      </w:r>
      <w:r>
        <w:rPr>
          <w:rFonts w:hint="eastAsia" w:ascii="宋体" w:hAnsi="宋体" w:cs="宋体"/>
          <w:b/>
          <w:bCs/>
          <w:sz w:val="24"/>
          <w:szCs w:val="24"/>
        </w:rPr>
      </w:r>
      <w:r/>
    </w:p>
    <w:p>
      <w:pPr>
        <w:pStyle w:val="797"/>
        <w:ind w:left="-2" w:right="210" w:firstLine="480"/>
        <w:jc w:val="left"/>
        <w:keepLines/>
        <w:keepNext/>
        <w:spacing w:before="50" w:line="360" w:lineRule="auto"/>
        <w:rPr>
          <w:rFonts w:hint="eastAsia" w:ascii="Arial" w:hAnsi="Arial" w:eastAsia="黑体"/>
          <w:sz w:val="32"/>
          <w:szCs w:val="20"/>
        </w:rPr>
        <w:outlineLvl w:val="1"/>
      </w:pPr>
      <w:r>
        <w:rPr>
          <w:rFonts w:hint="eastAsia" w:ascii="宋体" w:hAnsi="宋体" w:cs="宋体"/>
          <w:sz w:val="24"/>
          <w:szCs w:val="24"/>
        </w:rPr>
        <w:t xml:space="preserve">根据评分细则需要提交的材料</w:t>
      </w:r>
      <w:r>
        <w:rPr>
          <w:rFonts w:hint="eastAsia" w:ascii="Arial" w:hAnsi="Arial" w:eastAsia="黑体"/>
          <w:sz w:val="32"/>
          <w:szCs w:val="20"/>
        </w:rPr>
      </w:r>
      <w:r/>
    </w:p>
    <w:p>
      <w:pPr>
        <w:pStyle w:val="797"/>
        <w:ind w:left="-2" w:right="210" w:firstLine="482"/>
        <w:jc w:val="left"/>
        <w:keepLines/>
        <w:keepNext/>
        <w:spacing w:before="50"/>
        <w:rPr>
          <w:rFonts w:hint="eastAsia" w:ascii="宋体" w:hAnsi="宋体" w:cs="宋体"/>
          <w:b/>
          <w:bCs/>
          <w:sz w:val="24"/>
          <w:szCs w:val="24"/>
        </w:rPr>
        <w:outlineLvl w:val="1"/>
      </w:pPr>
      <w:r>
        <w:rPr>
          <w:rFonts w:hint="eastAsia" w:ascii="宋体" w:hAnsi="宋体" w:cs="宋体"/>
          <w:b/>
          <w:bCs/>
          <w:sz w:val="24"/>
          <w:szCs w:val="24"/>
        </w:rPr>
        <w:t xml:space="preserve">价格折扣文件格式（如有）</w:t>
      </w:r>
      <w:r>
        <w:rPr>
          <w:rFonts w:hint="eastAsia" w:ascii="宋体" w:hAnsi="宋体" w:cs="宋体"/>
          <w:b/>
          <w:bCs/>
          <w:sz w:val="24"/>
          <w:szCs w:val="24"/>
        </w:rPr>
      </w:r>
      <w:r/>
    </w:p>
    <w:p>
      <w:pPr>
        <w:pStyle w:val="797"/>
        <w:ind w:firstLine="480"/>
        <w:spacing w:line="480" w:lineRule="auto"/>
        <w:rPr>
          <w:rFonts w:hint="eastAsia" w:ascii="宋体" w:hAnsi="宋体" w:cs="宋体"/>
          <w:b/>
          <w:bCs/>
          <w:sz w:val="24"/>
          <w:szCs w:val="24"/>
        </w:rPr>
      </w:pPr>
      <w:r>
        <w:rPr>
          <w:rFonts w:hint="eastAsia" w:ascii="宋体" w:hAnsi="宋体" w:cs="宋体"/>
          <w:sz w:val="24"/>
          <w:szCs w:val="24"/>
        </w:rPr>
        <w:t xml:space="preserve">如为中小微企业提供符合要求的中小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rPr>
          <w:rFonts w:hint="eastAsia" w:ascii="宋体" w:hAnsi="宋体" w:cs="宋体"/>
          <w:b/>
          <w:bCs/>
          <w:sz w:val="24"/>
          <w:szCs w:val="24"/>
        </w:rPr>
      </w:r>
      <w:r/>
    </w:p>
    <w:p>
      <w:pPr>
        <w:pStyle w:val="79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上述加★项目若有缺失或无效，将导致该响应文件作无效评定，且不允许在递交截止时间后补正。本采购文件所表述（指定）的公章是指刻有投标人法定名称的印章，不包括合同、财务、税务、发票等形式的业务专用章）。</w:t>
      </w:r>
      <w:r>
        <w:rPr>
          <w:rFonts w:hint="eastAsia" w:ascii="宋体" w:hAnsi="宋体" w:cs="宋体"/>
          <w:b/>
          <w:bCs/>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3.磋商响应报价</w:t>
      </w:r>
      <w:bookmarkEnd w:id="64"/>
      <w:r/>
      <w:bookmarkEnd w:id="65"/>
      <w:r/>
      <w:bookmarkEnd w:id="66"/>
      <w:r/>
      <w:bookmarkStart w:id="68" w:name="_Hlt26670373"/>
      <w:r/>
      <w:bookmarkEnd w:id="68"/>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3.1每项产品或服务只允许有一个报价，任何有选择的报价将不予接受，磋商文件中另有规定的按规定执行。</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3.2标的物</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详见项目需求。</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3.3有关费用处理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本次采购磋商供应商的总报价应包括为完成本项目发生的所有费用，采购人不再支付其他任何费用，本磋商文件中另有规定的除外。磋商文件未列明，而磋商供应商认为必需的费用也须列入报价。</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3.4报价注意事项：</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（1）价格一律以人民币计算，以元为单位标准；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（2）供应商报价时应充分考虑所有可能影响到报价的价格因素，一旦评标结束最终中标，报价将包定，不予调整。如发生漏、缺、少项，都将被认为是中标人的报价让利行为，损失自负。</w:t>
      </w:r>
      <w:r>
        <w:rPr>
          <w:rFonts w:hint="eastAsia" w:ascii="宋体" w:hAnsi="宋体" w:cs="宋体"/>
          <w:sz w:val="24"/>
          <w:szCs w:val="24"/>
        </w:rPr>
      </w:r>
      <w:r/>
    </w:p>
    <w:p>
      <w:pPr>
        <w:pStyle w:val="797"/>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（3）评审过程中出现下列情形之一的，评审委员会应当启动异常低价投标（响应）审查程序：</w:t>
      </w:r>
      <w:r>
        <w:rPr>
          <w:rFonts w:hint="eastAsia" w:ascii="宋体" w:hAnsi="宋体" w:cs="宋体"/>
          <w:b/>
          <w:bCs/>
          <w:color w:val="000000"/>
          <w:sz w:val="24"/>
          <w:szCs w:val="24"/>
        </w:rPr>
      </w:r>
      <w:r/>
    </w:p>
    <w:p>
      <w:pPr>
        <w:pStyle w:val="79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（1）投标（响应）报价低于采购项目预算 50% 的，即投标（响应）报价&lt;采购项目预算×50% ；</w:t>
      </w:r>
      <w:r>
        <w:rPr>
          <w:rFonts w:hint="eastAsia" w:ascii="宋体" w:hAnsi="宋体" w:cs="宋体"/>
          <w:color w:val="000000"/>
          <w:sz w:val="24"/>
          <w:szCs w:val="24"/>
        </w:rPr>
      </w:r>
      <w:r/>
    </w:p>
    <w:p>
      <w:pPr>
        <w:pStyle w:val="79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（2）投标（响应）报价低于采购项目最高限价 45% 的，即投标（响应）报价&lt;采购项目最高限价×45% ；</w:t>
      </w:r>
      <w:r>
        <w:rPr>
          <w:rFonts w:hint="eastAsia" w:ascii="宋体" w:hAnsi="宋体" w:cs="宋体"/>
          <w:color w:val="000000"/>
          <w:sz w:val="24"/>
          <w:szCs w:val="24"/>
        </w:rPr>
      </w:r>
      <w:r/>
    </w:p>
    <w:p>
      <w:pPr>
        <w:pStyle w:val="79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（3）评审委员会认定的供应商报价过低、有可能影响产品质量或者不能诚信履约的其他情形。</w:t>
      </w:r>
      <w:r>
        <w:rPr>
          <w:rFonts w:hint="eastAsia" w:ascii="宋体" w:hAnsi="宋体" w:cs="宋体"/>
          <w:color w:val="000000"/>
          <w:sz w:val="24"/>
          <w:szCs w:val="24"/>
        </w:rPr>
      </w:r>
      <w:r/>
    </w:p>
    <w:p>
      <w:pPr>
        <w:pStyle w:val="797"/>
        <w:ind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该行业当地薪资水平、项目历史成交信息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bCs/>
          <w:color w:val="000000"/>
          <w:sz w:val="24"/>
          <w:szCs w:val="24"/>
        </w:rPr>
      </w:r>
      <w:r/>
    </w:p>
    <w:p>
      <w:pPr>
        <w:pStyle w:val="797"/>
        <w:ind w:firstLine="480"/>
        <w:spacing w:line="480" w:lineRule="auto"/>
        <w:tabs>
          <w:tab w:val="left" w:pos="900" w:leader="none"/>
        </w:tabs>
        <w:rPr>
          <w:rFonts w:hint="eastAsia" w:ascii="宋体" w:hAnsi="宋体" w:cs="宋体"/>
          <w:b/>
          <w:sz w:val="24"/>
          <w:szCs w:val="24"/>
        </w:rPr>
      </w:pPr>
      <w:r/>
      <w:bookmarkStart w:id="69" w:name="_Hlt26668983"/>
      <w:r/>
      <w:bookmarkEnd w:id="69"/>
      <w:r/>
      <w:bookmarkStart w:id="70" w:name="_Hlt26954749"/>
      <w:r/>
      <w:bookmarkEnd w:id="70"/>
      <w:r/>
      <w:bookmarkStart w:id="71" w:name="_Hlt26670425"/>
      <w:r/>
      <w:bookmarkEnd w:id="71"/>
      <w:r/>
      <w:bookmarkStart w:id="72" w:name="_Hlt26954731"/>
      <w:r/>
      <w:bookmarkEnd w:id="72"/>
      <w:r/>
      <w:bookmarkStart w:id="73" w:name="_Hlt26954739"/>
      <w:r/>
      <w:bookmarkEnd w:id="73"/>
      <w:r/>
      <w:bookmarkStart w:id="74" w:name="_Hlt26954848"/>
      <w:r/>
      <w:bookmarkEnd w:id="74"/>
      <w:r/>
      <w:bookmarkStart w:id="75" w:name="_Hlt26954852"/>
      <w:r/>
      <w:bookmarkEnd w:id="75"/>
      <w:r/>
      <w:bookmarkStart w:id="76" w:name="_Hlt26954844"/>
      <w:r/>
      <w:bookmarkEnd w:id="76"/>
      <w:r/>
      <w:bookmarkStart w:id="77" w:name="_Hlt26954734"/>
      <w:r/>
      <w:bookmarkEnd w:id="77"/>
      <w:r/>
      <w:bookmarkStart w:id="78" w:name="_Hlt26954846"/>
      <w:r/>
      <w:bookmarkEnd w:id="78"/>
      <w:r/>
      <w:bookmarkStart w:id="79" w:name="_Hlt26954842"/>
      <w:r/>
      <w:bookmarkEnd w:id="79"/>
      <w:r/>
      <w:bookmarkStart w:id="80" w:name="_Hlt26954854"/>
      <w:r/>
      <w:bookmarkEnd w:id="80"/>
      <w:r/>
      <w:bookmarkStart w:id="81" w:name="_Hlt26670403"/>
      <w:r/>
      <w:bookmarkEnd w:id="81"/>
      <w:r/>
      <w:bookmarkStart w:id="82" w:name="_Hlt26670486"/>
      <w:r/>
      <w:bookmarkEnd w:id="82"/>
      <w:r/>
      <w:bookmarkStart w:id="83" w:name="_Hlt26670493"/>
      <w:r/>
      <w:bookmarkEnd w:id="83"/>
      <w:r/>
      <w:bookmarkStart w:id="84" w:name="_Hlt26954850"/>
      <w:r/>
      <w:bookmarkEnd w:id="84"/>
      <w:r/>
      <w:bookmarkStart w:id="85" w:name="_Hlt26670482"/>
      <w:r/>
      <w:bookmarkEnd w:id="85"/>
      <w:r/>
      <w:bookmarkStart w:id="86" w:name="_Hlt26670489"/>
      <w:r/>
      <w:bookmarkEnd w:id="86"/>
      <w:r/>
      <w:bookmarkStart w:id="87" w:name="_Toc513029224"/>
      <w:r/>
      <w:bookmarkStart w:id="88" w:name="_Toc14577362"/>
      <w:r/>
      <w:bookmarkStart w:id="89" w:name="_Toc61149562"/>
      <w:r>
        <w:rPr>
          <w:rFonts w:hint="eastAsia" w:ascii="宋体" w:hAnsi="宋体" w:cs="宋体"/>
          <w:sz w:val="24"/>
          <w:szCs w:val="24"/>
        </w:rPr>
        <w:t xml:space="preserve">4.磋商保证金：无</w:t>
      </w:r>
      <w:r>
        <w:rPr>
          <w:rFonts w:hint="eastAsia" w:ascii="宋体" w:hAnsi="宋体" w:cs="宋体"/>
          <w:b/>
          <w:sz w:val="24"/>
          <w:szCs w:val="24"/>
        </w:rPr>
      </w:r>
      <w:r/>
    </w:p>
    <w:p>
      <w:pPr>
        <w:pStyle w:val="797"/>
        <w:ind w:firstLine="482"/>
        <w:spacing w:line="480" w:lineRule="auto"/>
        <w:tabs>
          <w:tab w:val="left" w:pos="900" w:leader="none"/>
        </w:tabs>
        <w:rPr>
          <w:rFonts w:hint="eastAsia" w:ascii="宋体" w:hAnsi="宋体" w:cs="宋体"/>
          <w:b/>
          <w:sz w:val="24"/>
          <w:szCs w:val="24"/>
        </w:rPr>
      </w:pPr>
      <w:r>
        <w:rPr>
          <w:rFonts w:hint="eastAsia" w:ascii="宋体" w:hAnsi="宋体" w:cs="宋体"/>
          <w:b/>
          <w:sz w:val="24"/>
          <w:szCs w:val="24"/>
        </w:rPr>
        <w:t xml:space="preserve">三、首次响应文件的递交</w:t>
      </w:r>
      <w:bookmarkEnd w:id="87"/>
      <w:r/>
      <w:bookmarkEnd w:id="88"/>
      <w:r/>
      <w:bookmarkEnd w:id="89"/>
      <w:r>
        <w:rPr>
          <w:rFonts w:hint="eastAsia" w:ascii="宋体" w:hAnsi="宋体" w:cs="宋体"/>
          <w:b/>
          <w:sz w:val="24"/>
          <w:szCs w:val="24"/>
        </w:rPr>
      </w:r>
      <w:r/>
    </w:p>
    <w:p>
      <w:pPr>
        <w:pStyle w:val="797"/>
        <w:ind w:firstLine="397"/>
        <w:spacing w:line="360" w:lineRule="auto"/>
        <w:rPr>
          <w:rFonts w:ascii="宋体" w:hAnsi="宋体" w:cs="宋体"/>
          <w:sz w:val="24"/>
          <w:szCs w:val="24"/>
        </w:rPr>
      </w:pPr>
      <w:r/>
      <w:bookmarkStart w:id="90" w:name="_Hlt26954856"/>
      <w:r/>
      <w:bookmarkEnd w:id="90"/>
      <w:r>
        <w:rPr>
          <w:rFonts w:hint="eastAsia" w:ascii="宋体" w:hAnsi="宋体" w:cs="宋体"/>
          <w:sz w:val="24"/>
          <w:szCs w:val="24"/>
        </w:rPr>
        <w:t xml:space="preserve">1.电子响应文件的递交</w:t>
      </w:r>
      <w:r>
        <w:rPr>
          <w:rFonts w:ascii="宋体" w:hAnsi="宋体" w:cs="宋体"/>
          <w:sz w:val="24"/>
          <w:szCs w:val="24"/>
        </w:rPr>
      </w:r>
      <w:r/>
    </w:p>
    <w:p>
      <w:pPr>
        <w:pStyle w:val="797"/>
        <w:ind w:firstLine="397"/>
        <w:spacing w:line="360" w:lineRule="auto"/>
        <w:rPr>
          <w:rFonts w:hint="eastAsia" w:ascii="宋体" w:hAnsi="宋体" w:cs="宋体"/>
          <w:sz w:val="24"/>
          <w:szCs w:val="24"/>
        </w:rPr>
      </w:pPr>
      <w:r>
        <w:rPr>
          <w:rFonts w:hint="eastAsia" w:ascii="宋体" w:hAnsi="宋体" w:cs="宋体"/>
          <w:sz w:val="24"/>
          <w:szCs w:val="24"/>
        </w:rPr>
        <w:t xml:space="preserve">供应商应当按照规定，在响应文件递交截止时间前制作并上传电子投标文件。</w:t>
      </w:r>
      <w:r>
        <w:rPr>
          <w:rFonts w:hint="eastAsia" w:ascii="宋体" w:hAnsi="宋体" w:cs="宋体"/>
          <w:sz w:val="24"/>
          <w:szCs w:val="24"/>
        </w:rPr>
      </w:r>
      <w:r/>
    </w:p>
    <w:p>
      <w:pPr>
        <w:pStyle w:val="797"/>
        <w:ind w:firstLine="397"/>
        <w:spacing w:line="360" w:lineRule="auto"/>
        <w:rPr>
          <w:rFonts w:hint="eastAsia" w:ascii="宋体" w:hAnsi="宋体" w:cs="宋体"/>
          <w:sz w:val="24"/>
          <w:szCs w:val="24"/>
        </w:rPr>
      </w:pPr>
      <w:r>
        <w:rPr>
          <w:rFonts w:hint="eastAsia" w:ascii="宋体" w:hAnsi="宋体" w:cs="宋体"/>
          <w:sz w:val="24"/>
          <w:szCs w:val="24"/>
        </w:rPr>
        <w:t xml:space="preserve">2.递交截止日期</w:t>
      </w:r>
      <w:r>
        <w:rPr>
          <w:rFonts w:hint="eastAsia" w:ascii="宋体" w:hAnsi="宋体" w:cs="宋体"/>
          <w:sz w:val="24"/>
          <w:szCs w:val="24"/>
        </w:rPr>
      </w:r>
      <w:r/>
    </w:p>
    <w:p>
      <w:pPr>
        <w:pStyle w:val="797"/>
        <w:ind w:firstLine="397"/>
        <w:spacing w:line="360" w:lineRule="auto"/>
        <w:rPr>
          <w:rFonts w:hint="eastAsia" w:ascii="宋体" w:hAnsi="宋体" w:cs="宋体"/>
          <w:b/>
          <w:bCs/>
          <w:sz w:val="24"/>
          <w:szCs w:val="24"/>
        </w:rPr>
      </w:pPr>
      <w:r>
        <w:rPr>
          <w:rFonts w:hint="eastAsia" w:ascii="宋体" w:hAnsi="宋体" w:cs="宋体"/>
          <w:b/>
          <w:bCs/>
          <w:sz w:val="24"/>
          <w:szCs w:val="24"/>
        </w:rPr>
        <w:t xml:space="preserve">2.1 供应商上传电子响应文件的时间不得迟于采购公告中规定的递交截止时间，系统平台拒绝接收在其规定的截止时间后上传的任何响应文件。</w:t>
      </w:r>
      <w:r>
        <w:rPr>
          <w:rFonts w:hint="eastAsia" w:ascii="宋体" w:hAnsi="宋体" w:cs="宋体"/>
          <w:b/>
          <w:bCs/>
          <w:sz w:val="24"/>
          <w:szCs w:val="24"/>
        </w:rPr>
      </w:r>
      <w:r/>
    </w:p>
    <w:p>
      <w:pPr>
        <w:pStyle w:val="797"/>
        <w:ind w:firstLine="397"/>
        <w:spacing w:line="360" w:lineRule="auto"/>
        <w:rPr>
          <w:rFonts w:hint="eastAsia" w:ascii="宋体" w:hAnsi="宋体" w:cs="宋体"/>
          <w:b/>
          <w:bCs/>
          <w:sz w:val="24"/>
          <w:szCs w:val="24"/>
        </w:rPr>
      </w:pPr>
      <w:r>
        <w:rPr>
          <w:rFonts w:hint="eastAsia" w:ascii="宋体" w:hAnsi="宋体" w:cs="宋体"/>
          <w:b/>
          <w:bCs/>
          <w:sz w:val="24"/>
          <w:szCs w:val="24"/>
        </w:rPr>
        <w:t xml:space="preserve">供应商应充分考虑网络环境、网络带宽等风险因素，如因供应商自身原因造成的电子响应文件上传不成功由供应商自行承担全部责任。</w:t>
      </w:r>
      <w:r>
        <w:rPr>
          <w:rFonts w:hint="eastAsia" w:ascii="宋体" w:hAnsi="宋体" w:cs="宋体"/>
          <w:b/>
          <w:bCs/>
          <w:sz w:val="24"/>
          <w:szCs w:val="24"/>
        </w:rPr>
      </w:r>
      <w:r/>
    </w:p>
    <w:p>
      <w:pPr>
        <w:pStyle w:val="797"/>
        <w:ind w:firstLine="397"/>
        <w:spacing w:line="360" w:lineRule="auto"/>
        <w:rPr>
          <w:rFonts w:hint="eastAsia"/>
          <w:szCs w:val="24"/>
        </w:rPr>
      </w:pPr>
      <w:r>
        <w:rPr>
          <w:rFonts w:hint="eastAsia" w:ascii="宋体" w:hAnsi="宋体" w:cs="宋体"/>
          <w:sz w:val="24"/>
          <w:szCs w:val="24"/>
        </w:rPr>
        <w:t xml:space="preserve">2.2代理机构可以按照规定，通过修改采购文件酌情延长截止日期，在此情况下，供应商的所有权利和义务以及供应商受制的截止日期均应以延长后新的截止日期为准。</w:t>
      </w:r>
      <w:r>
        <w:rPr>
          <w:rFonts w:hint="eastAsia"/>
          <w:szCs w:val="24"/>
        </w:rPr>
      </w:r>
      <w:r/>
    </w:p>
    <w:p>
      <w:pPr>
        <w:pStyle w:val="797"/>
        <w:ind w:firstLine="397"/>
        <w:spacing w:line="360" w:lineRule="auto"/>
        <w:rPr>
          <w:szCs w:val="24"/>
        </w:rPr>
      </w:pPr>
      <w:r>
        <w:rPr>
          <w:rFonts w:hint="eastAsia" w:ascii="宋体" w:hAnsi="宋体" w:cs="宋体"/>
          <w:b/>
          <w:sz w:val="24"/>
          <w:szCs w:val="24"/>
        </w:rPr>
        <w:t xml:space="preserve">3.响应文件的修改和撤回</w:t>
      </w:r>
      <w:r>
        <w:rPr>
          <w:szCs w:val="24"/>
        </w:rPr>
      </w:r>
      <w:r/>
    </w:p>
    <w:p>
      <w:pPr>
        <w:pStyle w:val="797"/>
        <w:ind w:firstLine="397"/>
        <w:spacing w:line="360" w:lineRule="auto"/>
        <w:rPr>
          <w:rFonts w:ascii="宋体" w:hAnsi="宋体" w:cs="宋体"/>
          <w:sz w:val="24"/>
          <w:szCs w:val="24"/>
        </w:rPr>
      </w:pPr>
      <w:r>
        <w:rPr>
          <w:rFonts w:hint="eastAsia" w:ascii="宋体" w:hAnsi="宋体" w:cs="宋体"/>
          <w:sz w:val="24"/>
          <w:szCs w:val="24"/>
        </w:rPr>
        <w:t xml:space="preserve">3.1响应文件的撤回</w:t>
      </w:r>
      <w:r>
        <w:rPr>
          <w:rFonts w:ascii="宋体" w:hAnsi="宋体" w:cs="宋体"/>
          <w:sz w:val="24"/>
          <w:szCs w:val="24"/>
        </w:rPr>
      </w:r>
      <w:r/>
    </w:p>
    <w:p>
      <w:pPr>
        <w:pStyle w:val="797"/>
        <w:ind w:firstLine="397"/>
        <w:spacing w:line="360" w:lineRule="auto"/>
        <w:rPr>
          <w:rFonts w:hint="eastAsia" w:ascii="宋体" w:hAnsi="宋体" w:cs="宋体"/>
          <w:sz w:val="24"/>
          <w:szCs w:val="24"/>
        </w:rPr>
      </w:pPr>
      <w:r>
        <w:rPr>
          <w:rFonts w:hint="eastAsia" w:ascii="宋体" w:hAnsi="宋体" w:cs="宋体"/>
          <w:sz w:val="24"/>
          <w:szCs w:val="24"/>
        </w:rPr>
        <w:t xml:space="preserve">供应商可在投标截止时间前，撤回其电子响应文件。</w:t>
      </w:r>
      <w:r>
        <w:rPr>
          <w:rFonts w:hint="eastAsia" w:ascii="宋体" w:hAnsi="宋体" w:cs="宋体"/>
          <w:sz w:val="24"/>
          <w:szCs w:val="24"/>
        </w:rPr>
      </w:r>
      <w:r/>
    </w:p>
    <w:p>
      <w:pPr>
        <w:pStyle w:val="797"/>
        <w:ind w:firstLine="397"/>
        <w:spacing w:line="360" w:lineRule="auto"/>
        <w:rPr>
          <w:rFonts w:hint="eastAsia" w:ascii="宋体" w:hAnsi="宋体" w:cs="宋体"/>
          <w:sz w:val="24"/>
          <w:szCs w:val="24"/>
        </w:rPr>
      </w:pPr>
      <w:r>
        <w:rPr>
          <w:rFonts w:hint="eastAsia" w:ascii="宋体" w:hAnsi="宋体" w:cs="宋体"/>
          <w:sz w:val="24"/>
          <w:szCs w:val="24"/>
        </w:rPr>
        <w:t xml:space="preserve">3.2响应文件的修改</w:t>
      </w:r>
      <w:r>
        <w:rPr>
          <w:rFonts w:hint="eastAsia" w:ascii="宋体" w:hAnsi="宋体" w:cs="宋体"/>
          <w:sz w:val="24"/>
          <w:szCs w:val="24"/>
        </w:rPr>
      </w:r>
      <w:r/>
    </w:p>
    <w:p>
      <w:pPr>
        <w:pStyle w:val="797"/>
        <w:ind w:firstLine="397"/>
        <w:spacing w:line="360" w:lineRule="auto"/>
        <w:rPr>
          <w:rFonts w:hint="eastAsia" w:ascii="宋体" w:hAnsi="宋体" w:cs="宋体"/>
          <w:sz w:val="24"/>
          <w:szCs w:val="24"/>
        </w:rPr>
      </w:pPr>
      <w:r>
        <w:rPr>
          <w:rFonts w:hint="eastAsia" w:ascii="宋体" w:hAnsi="宋体" w:cs="宋体"/>
          <w:sz w:val="24"/>
          <w:szCs w:val="24"/>
        </w:rPr>
        <w:t xml:space="preserve">供应商可在投标截止时间前，对其电子响应文件进行修改。</w:t>
      </w:r>
      <w:r>
        <w:rPr>
          <w:rFonts w:hint="eastAsia" w:ascii="宋体" w:hAnsi="宋体" w:cs="宋体"/>
          <w:sz w:val="24"/>
          <w:szCs w:val="24"/>
        </w:rPr>
      </w:r>
      <w:r/>
    </w:p>
    <w:p>
      <w:pPr>
        <w:pStyle w:val="797"/>
        <w:ind w:firstLine="397"/>
        <w:spacing w:line="360" w:lineRule="auto"/>
        <w:rPr>
          <w:rFonts w:hint="eastAsia" w:ascii="宋体" w:hAnsi="宋体" w:cs="宋体"/>
          <w:b/>
          <w:sz w:val="24"/>
          <w:szCs w:val="24"/>
        </w:rPr>
      </w:pPr>
      <w:r>
        <w:rPr>
          <w:rFonts w:hint="eastAsia" w:ascii="宋体" w:hAnsi="宋体" w:cs="宋体"/>
          <w:sz w:val="24"/>
          <w:szCs w:val="24"/>
        </w:rPr>
        <w:t xml:space="preserve">3.3在递交截止时间之后，供应商不得对其电子响应文件作任何修改。</w:t>
      </w:r>
      <w:r>
        <w:rPr>
          <w:rFonts w:hint="eastAsia" w:ascii="宋体" w:hAnsi="宋体" w:cs="宋体"/>
          <w:b/>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4.磋商响应有效期</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4.1磋商响应有效期为代理机构规定的响应文件提交截止时间后九十（90）天。供应商声明的磋商响应有效期比规定短的将被视为非实质性响应而予以拒绝；供应商就磋商响应有效期不作说明的视同认可本条款设定的磋商响应有效期。</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b/>
          <w:sz w:val="24"/>
          <w:szCs w:val="24"/>
        </w:rPr>
      </w:pPr>
      <w:r>
        <w:rPr>
          <w:rFonts w:hint="eastAsia" w:ascii="宋体" w:hAnsi="宋体" w:cs="宋体"/>
          <w:sz w:val="24"/>
          <w:szCs w:val="24"/>
        </w:rPr>
        <w:t xml:space="preserve">4.2在特殊情况下，代理机构于原磋商响应有效期满之前，可向磋商供应商提出延长磋商响应有效期的要求。</w:t>
      </w:r>
      <w:bookmarkStart w:id="91" w:name="_Hlt26954864"/>
      <w:r/>
      <w:bookmarkEnd w:id="91"/>
      <w:r/>
      <w:bookmarkStart w:id="92" w:name="_Hlt26670523"/>
      <w:r/>
      <w:bookmarkEnd w:id="92"/>
      <w:r>
        <w:rPr>
          <w:rFonts w:hint="eastAsia" w:ascii="宋体" w:hAnsi="宋体" w:cs="宋体"/>
          <w:b/>
          <w:sz w:val="24"/>
          <w:szCs w:val="24"/>
        </w:rPr>
      </w:r>
      <w:r/>
    </w:p>
    <w:p>
      <w:pPr>
        <w:pStyle w:val="797"/>
        <w:ind w:firstLine="482"/>
        <w:spacing w:line="480" w:lineRule="auto"/>
        <w:tabs>
          <w:tab w:val="left" w:pos="900" w:leader="none"/>
        </w:tabs>
        <w:rPr>
          <w:rFonts w:hint="eastAsia" w:ascii="宋体" w:hAnsi="宋体" w:cs="宋体"/>
          <w:b/>
          <w:sz w:val="24"/>
          <w:szCs w:val="24"/>
        </w:rPr>
      </w:pPr>
      <w:r>
        <w:rPr>
          <w:rFonts w:hint="eastAsia" w:ascii="宋体" w:hAnsi="宋体" w:cs="宋体"/>
          <w:b/>
          <w:sz w:val="24"/>
          <w:szCs w:val="24"/>
        </w:rPr>
        <w:t xml:space="preserve">四、磋商与评审</w:t>
      </w:r>
      <w:r>
        <w:rPr>
          <w:rFonts w:hint="eastAsia" w:ascii="宋体" w:hAnsi="宋体" w:cs="宋体"/>
          <w:b/>
          <w:sz w:val="24"/>
          <w:szCs w:val="24"/>
        </w:rPr>
      </w:r>
      <w:r/>
    </w:p>
    <w:p>
      <w:pPr>
        <w:pStyle w:val="797"/>
        <w:ind w:firstLine="480"/>
        <w:spacing w:line="480" w:lineRule="auto"/>
        <w:tabs>
          <w:tab w:val="left" w:pos="900" w:leader="none"/>
        </w:tabs>
        <w:rPr>
          <w:rFonts w:ascii="宋体" w:hAnsi="宋体" w:cs="宋体"/>
          <w:sz w:val="24"/>
          <w:szCs w:val="24"/>
        </w:rPr>
      </w:pPr>
      <w:r/>
      <w:bookmarkStart w:id="93" w:name="_Toc16938546"/>
      <w:r/>
      <w:bookmarkStart w:id="94" w:name="_Toc20823302"/>
      <w:r/>
      <w:bookmarkStart w:id="95" w:name="_Toc513029230"/>
      <w:r>
        <w:rPr>
          <w:rFonts w:hint="eastAsia" w:ascii="宋体" w:hAnsi="宋体" w:cs="宋体"/>
          <w:sz w:val="24"/>
          <w:szCs w:val="24"/>
        </w:rPr>
        <w:t xml:space="preserve">1</w:t>
      </w:r>
      <w:bookmarkEnd w:id="93"/>
      <w:r/>
      <w:bookmarkEnd w:id="94"/>
      <w:r/>
      <w:bookmarkEnd w:id="95"/>
      <w:r>
        <w:rPr>
          <w:rFonts w:hint="eastAsia" w:ascii="宋体" w:hAnsi="宋体" w:cs="宋体"/>
          <w:sz w:val="24"/>
          <w:szCs w:val="24"/>
        </w:rPr>
        <w:t xml:space="preserve">.响应文件解密</w:t>
      </w:r>
      <w:r>
        <w:rPr>
          <w:rFonts w:ascii="宋体" w:hAnsi="宋体" w:cs="宋体"/>
          <w:sz w:val="24"/>
          <w:szCs w:val="24"/>
        </w:rPr>
      </w:r>
      <w:r/>
    </w:p>
    <w:p>
      <w:pPr>
        <w:pStyle w:val="797"/>
        <w:ind w:firstLine="480"/>
        <w:spacing w:line="480" w:lineRule="auto"/>
        <w:tabs>
          <w:tab w:val="left" w:pos="900" w:leader="none"/>
        </w:tabs>
        <w:rPr>
          <w:rFonts w:hint="eastAsia" w:ascii="宋体" w:hAnsi="宋体" w:cs="宋体"/>
          <w:color w:val="ff0000"/>
          <w:sz w:val="24"/>
          <w:szCs w:val="24"/>
        </w:rPr>
      </w:pPr>
      <w:r/>
      <w:bookmarkStart w:id="96" w:name="_Toc16938547"/>
      <w:r/>
      <w:bookmarkStart w:id="97" w:name="_Toc513029231"/>
      <w:r/>
      <w:bookmarkStart w:id="98" w:name="_Toc20823303"/>
      <w:r>
        <w:rPr>
          <w:rFonts w:hint="eastAsia" w:ascii="宋体" w:hAnsi="宋体" w:cs="宋体"/>
          <w:sz w:val="24"/>
          <w:szCs w:val="24"/>
        </w:rPr>
        <w:t xml:space="preserve">供应商应当按照《江苏省政府采购管理交易系统（苏采云）供应商操作手册》规定，在苏采云系统规定的时间内对磋商响应文件进行解密。</w:t>
      </w:r>
      <w:r>
        <w:rPr>
          <w:rFonts w:hint="eastAsia" w:ascii="宋体" w:hAnsi="宋体" w:cs="宋体"/>
          <w:b/>
          <w:bCs/>
          <w:sz w:val="24"/>
          <w:szCs w:val="24"/>
        </w:rPr>
        <w:t xml:space="preserve">供应商在苏采云系统规定时间内未解密，超时视同解密失败，放弃投标。</w:t>
      </w:r>
      <w:r>
        <w:rPr>
          <w:rFonts w:hint="eastAsia" w:ascii="宋体" w:hAnsi="宋体" w:cs="宋体"/>
          <w:color w:val="ff0000"/>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2.磋商小组</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2.1响应文件解密后，代理机构将组织磋商小组进行评审。</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2.2代理机构及采购人将根据本采购项目的特点组建磋商小组，由三人以上（含三人）单数组成，将对实质性响应报价文件要求的报价文件进行评价和比较，并采用相同的程序和标准。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3.磋商评审过程的保密</w:t>
      </w:r>
      <w:bookmarkEnd w:id="96"/>
      <w:r/>
      <w:bookmarkEnd w:id="97"/>
      <w:r/>
      <w:bookmarkEnd w:id="98"/>
      <w:r>
        <w:rPr>
          <w:rFonts w:hint="eastAsia" w:ascii="宋体" w:hAnsi="宋体" w:cs="宋体"/>
          <w:sz w:val="24"/>
          <w:szCs w:val="24"/>
        </w:rPr>
        <w:t xml:space="preserve">与公正</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3.1磋商小组、采购人和代理机构工作人员、相关监督人员等与评审工作有关的人员，对评审情况以及在评审过程中获悉的国家秘密、商业秘密负有保密责任。</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3.2在磋商评审过程中，磋商供应商不得以任何行为影响磋商评审过程，否则其响应文件将被作为无效响应文件。</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bookmarkStart w:id="99" w:name="_Toc20823304"/>
      <w:r/>
      <w:bookmarkStart w:id="100" w:name="_Toc513029232"/>
      <w:r/>
      <w:bookmarkStart w:id="101" w:name="_Toc16938548"/>
      <w:r>
        <w:rPr>
          <w:rFonts w:hint="eastAsia" w:ascii="宋体" w:hAnsi="宋体" w:cs="宋体"/>
          <w:sz w:val="24"/>
          <w:szCs w:val="24"/>
        </w:rPr>
        <w:t xml:space="preserve">4.评审过程的澄清</w:t>
      </w:r>
      <w:bookmarkEnd w:id="99"/>
      <w:r/>
      <w:bookmarkEnd w:id="100"/>
      <w:r/>
      <w:bookmarkEnd w:id="101"/>
      <w:r>
        <w:rPr>
          <w:rFonts w:hint="eastAsia" w:ascii="宋体" w:hAnsi="宋体" w:cs="宋体"/>
          <w:sz w:val="24"/>
          <w:szCs w:val="24"/>
        </w:rPr>
        <w:t xml:space="preserve">、说明和更正</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4.2</w:t>
      </w:r>
      <w:r>
        <w:rPr>
          <w:rFonts w:hint="eastAsia" w:ascii="宋体" w:hAnsi="宋体" w:cs="宋体"/>
          <w:b/>
          <w:bCs/>
          <w:sz w:val="24"/>
          <w:szCs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4.3接到磋商小组澄清要求的供应商如未按规定作出澄清，其风险由供应商自行承担。</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bookmarkStart w:id="102" w:name="_Toc513029233"/>
      <w:r/>
      <w:bookmarkStart w:id="103" w:name="_Toc20823305"/>
      <w:r/>
      <w:bookmarkStart w:id="104" w:name="_Toc16938549"/>
      <w:r>
        <w:rPr>
          <w:rFonts w:hint="eastAsia" w:ascii="宋体" w:hAnsi="宋体" w:cs="宋体"/>
          <w:sz w:val="24"/>
          <w:szCs w:val="24"/>
        </w:rPr>
        <w:t xml:space="preserve">5.对首次响应文件的初审</w:t>
      </w:r>
      <w:bookmarkEnd w:id="102"/>
      <w:r/>
      <w:bookmarkEnd w:id="103"/>
      <w:r/>
      <w:bookmarkEnd w:id="104"/>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5.1首次响应文件初审分为资格性检查和符合性检查。</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资格性检查：依据法律法规和磋商文件的规定，对首次响应文件中的资格证明文件提交情况等进行审查，以确定供应商是否具备参加磋商的资格。</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符合性检查：依据磋商文件的规定，从响应文件的有效性、完整性和对磋商文件的响应程度进行审查，以确定是否对磋商文件的实质性要求作出响应。</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所谓重大负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负偏离的认定需经过磋商小组的认定。</w:t>
      </w:r>
      <w:r>
        <w:rPr>
          <w:rFonts w:hint="eastAsia" w:ascii="宋体" w:hAnsi="宋体" w:cs="宋体"/>
          <w:b/>
          <w:bCs/>
          <w:sz w:val="24"/>
          <w:szCs w:val="24"/>
        </w:rPr>
        <w:t xml:space="preserve">磋商小组决定响应文件的响应性只根据响应文件本身的内容，而不寻求外部的证据。</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5.3被认定为无效响应的响应文件的情形</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（1）未按照磋商文件规定要求签署、盖章的；</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（2）供应商在报价时采用选择性报价；</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（3）供应商不具备磋商文件中规定资格要求的；</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（4）不符合法律法规和磋商文件中规定的其他实质性要求和条件的；</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（5）经磋商小组认定为非实质性响应文件的；</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（6）其他法律法规及本磋商文件规定的属非响应性的响应文件的情形。</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5.4如果响应文件实质上没有响应磋商文件的要求，磋商小组将予以拒绝，供应商不得通过修改或撤销不合要求的偏离或保留而使其响应文件成为实质性响应的文件。</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5.5磋商小组将允许修正响应文件中不构成重大负偏离的、微小的、非正规的、不一致的或不规则的地方，但这些修改不能影响任何供应商相应的名次排列。</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bookmarkStart w:id="105" w:name="_Toc20823306"/>
      <w:r/>
      <w:bookmarkStart w:id="106" w:name="_Toc513029234"/>
      <w:r/>
      <w:bookmarkStart w:id="107" w:name="_Toc16938550"/>
      <w:r>
        <w:rPr>
          <w:rFonts w:hint="eastAsia" w:ascii="宋体" w:hAnsi="宋体" w:cs="宋体"/>
          <w:sz w:val="24"/>
          <w:szCs w:val="24"/>
        </w:rPr>
        <w:t xml:space="preserve">6</w:t>
      </w:r>
      <w:bookmarkEnd w:id="105"/>
      <w:r/>
      <w:bookmarkEnd w:id="106"/>
      <w:r/>
      <w:bookmarkEnd w:id="107"/>
      <w:r>
        <w:rPr>
          <w:rFonts w:hint="eastAsia" w:ascii="宋体" w:hAnsi="宋体" w:cs="宋体"/>
          <w:sz w:val="24"/>
          <w:szCs w:val="24"/>
        </w:rPr>
        <w:t xml:space="preserve">.磋商程序及评审方法和标准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bookmarkStart w:id="108" w:name="_Toc16938551"/>
      <w:r/>
      <w:bookmarkStart w:id="109" w:name="_Toc20823307"/>
      <w:r/>
      <w:bookmarkStart w:id="110" w:name="_Toc513029235"/>
      <w:r>
        <w:rPr>
          <w:rFonts w:hint="eastAsia" w:ascii="宋体" w:hAnsi="宋体" w:cs="宋体"/>
          <w:sz w:val="24"/>
          <w:szCs w:val="24"/>
        </w:rPr>
        <w:t xml:space="preserve">6.1磋商程序</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6.1.1对于通过资格性和符合性审查的供应商，磋商小组所有成员集中与单一供应商分别进行磋商。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在苏采云系统中通知所有参加磋商的供应商。供应商应当按照磋商文件的变动情况和磋商小组的要求重新提交响应文件。根据需要，磋商小组可以自主决定磋商轮次，直至与三家或以上供应商达成采购人认可的磋商意见。</w:t>
      </w:r>
      <w:r>
        <w:rPr>
          <w:rFonts w:hint="eastAsia" w:ascii="宋体" w:hAnsi="宋体" w:cs="宋体"/>
          <w:sz w:val="24"/>
          <w:szCs w:val="24"/>
        </w:rPr>
      </w:r>
      <w:r/>
    </w:p>
    <w:p>
      <w:pPr>
        <w:pStyle w:val="797"/>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磋商供应商未在磋商小组规定的时间内参加磋商视为放弃磋商，其磋商响应按无效响应处理。</w:t>
      </w:r>
      <w:r>
        <w:rPr>
          <w:rFonts w:hint="eastAsia" w:ascii="宋体" w:hAnsi="宋体" w:cs="宋体"/>
          <w:b/>
          <w:bCs/>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6.1.2</w:t>
      </w:r>
      <w:r>
        <w:rPr>
          <w:rFonts w:hint="eastAsia" w:ascii="宋体" w:hAnsi="宋体" w:cs="宋体"/>
          <w:b/>
          <w:bCs/>
          <w:sz w:val="24"/>
          <w:szCs w:val="24"/>
        </w:rPr>
        <w:t xml:space="preserve">磋商文件能够详细列明采购标的的技术、服务要求的，磋商结束后，磋商小组将要求所有实质性响应的供应商在规定时间内提交最后报价。</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最后报价是供应商响应文件的有效组成部分。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6.1.3</w:t>
      </w:r>
      <w:r>
        <w:rPr>
          <w:rFonts w:hint="eastAsia" w:ascii="宋体" w:hAnsi="宋体" w:cs="宋体"/>
          <w:b/>
          <w:bCs/>
          <w:sz w:val="24"/>
          <w:szCs w:val="24"/>
        </w:rPr>
        <w:t xml:space="preserve">磋商供应商未在磋商小组规定的时间内完成最后报价的视为放弃磋商，其磋商响应按无效响应处理。最后报价格式表须加盖CA电子公章，否则视为未提交最后报价。已提交响应文件的供应商，在提交最后报价之前，可以根据磋商情况退出磋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6.2评审方法和标准</w:t>
      </w:r>
      <w:r>
        <w:rPr>
          <w:rFonts w:hint="eastAsia" w:ascii="宋体" w:hAnsi="宋体" w:cs="宋体"/>
          <w:sz w:val="24"/>
          <w:szCs w:val="24"/>
        </w:rPr>
      </w:r>
      <w:r/>
    </w:p>
    <w:p>
      <w:pPr>
        <w:pStyle w:val="797"/>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6.2.1评审方法。经磋商确定最终采购需求和提交报价的供应商后，由磋商小组采用综合评分法对提交最后报价的供应商的响应文件和最终报价进行综合评分。</w:t>
      </w:r>
      <w:r>
        <w:rPr>
          <w:rFonts w:hint="eastAsia" w:ascii="宋体" w:hAnsi="宋体" w:cs="宋体"/>
          <w:b/>
          <w:bCs/>
          <w:sz w:val="24"/>
          <w:szCs w:val="24"/>
        </w:rPr>
      </w:r>
      <w:r/>
    </w:p>
    <w:p>
      <w:pPr>
        <w:pStyle w:val="797"/>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6.2.2评审标准</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见本磋商文件第五章规定。</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6.3采购活动终止的情况</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出现下列情形之一的，本次竞争性磋商采购活动将被终止：</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（1）因情况变化，不再符合规定的竞争性磋商采购方式适用情形的；</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（2）出现影响采购公正的违法、违规行为的；</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（3）在采购过程中符合要求的供应商或者报价未超过采购预算的供应商不足3家的。</w:t>
      </w:r>
      <w:r>
        <w:rPr>
          <w:rFonts w:hint="eastAsia" w:ascii="宋体" w:hAnsi="宋体" w:cs="宋体"/>
          <w:sz w:val="24"/>
          <w:szCs w:val="24"/>
        </w:rPr>
      </w:r>
      <w:r/>
    </w:p>
    <w:p>
      <w:pPr>
        <w:pStyle w:val="797"/>
        <w:ind w:firstLine="482"/>
        <w:spacing w:line="480" w:lineRule="auto"/>
        <w:tabs>
          <w:tab w:val="left" w:pos="900" w:leader="none"/>
        </w:tabs>
        <w:rPr>
          <w:rFonts w:hint="eastAsia" w:ascii="宋体" w:hAnsi="宋体" w:cs="宋体"/>
          <w:b/>
          <w:sz w:val="24"/>
          <w:szCs w:val="24"/>
        </w:rPr>
      </w:pPr>
      <w:r/>
      <w:bookmarkEnd w:id="108"/>
      <w:r/>
      <w:bookmarkEnd w:id="109"/>
      <w:r/>
      <w:bookmarkEnd w:id="110"/>
      <w:r>
        <w:rPr>
          <w:rFonts w:hint="eastAsia" w:ascii="宋体" w:hAnsi="宋体" w:cs="宋体"/>
          <w:b/>
          <w:sz w:val="24"/>
          <w:szCs w:val="24"/>
        </w:rPr>
        <w:t xml:space="preserve">五、成交</w:t>
      </w:r>
      <w:r>
        <w:rPr>
          <w:rFonts w:hint="eastAsia" w:ascii="宋体" w:hAnsi="宋体" w:cs="宋体"/>
          <w:b/>
          <w:sz w:val="24"/>
          <w:szCs w:val="24"/>
        </w:rPr>
      </w:r>
      <w:r/>
    </w:p>
    <w:p>
      <w:pPr>
        <w:pStyle w:val="797"/>
        <w:ind w:firstLine="480"/>
        <w:spacing w:line="480" w:lineRule="auto"/>
        <w:tabs>
          <w:tab w:val="left" w:pos="900" w:leader="none"/>
        </w:tabs>
        <w:rPr>
          <w:rFonts w:hint="eastAsia" w:ascii="宋体" w:hAnsi="宋体" w:cs="宋体"/>
          <w:sz w:val="24"/>
          <w:szCs w:val="24"/>
        </w:rPr>
      </w:pPr>
      <w:r/>
      <w:bookmarkStart w:id="111" w:name="_Toc513029238"/>
      <w:r/>
      <w:bookmarkStart w:id="112" w:name="_Toc20823310"/>
      <w:r/>
      <w:bookmarkStart w:id="113" w:name="_Toc16938554"/>
      <w:r>
        <w:rPr>
          <w:rFonts w:hint="eastAsia" w:ascii="宋体" w:hAnsi="宋体" w:cs="宋体"/>
          <w:sz w:val="24"/>
          <w:szCs w:val="24"/>
        </w:rPr>
        <w:t xml:space="preserve">1</w:t>
      </w:r>
      <w:bookmarkEnd w:id="111"/>
      <w:r>
        <w:rPr>
          <w:rFonts w:hint="eastAsia" w:ascii="宋体" w:hAnsi="宋体" w:cs="宋体"/>
          <w:sz w:val="24"/>
          <w:szCs w:val="24"/>
        </w:rPr>
        <w:t xml:space="preserve">.确定</w:t>
      </w:r>
      <w:bookmarkEnd w:id="112"/>
      <w:r/>
      <w:bookmarkEnd w:id="113"/>
      <w:r>
        <w:rPr>
          <w:rFonts w:hint="eastAsia" w:ascii="宋体" w:hAnsi="宋体" w:cs="宋体"/>
          <w:sz w:val="24"/>
          <w:szCs w:val="24"/>
        </w:rPr>
        <w:t xml:space="preserve">成交单位</w:t>
      </w:r>
      <w:r>
        <w:rPr>
          <w:rFonts w:hint="eastAsia" w:ascii="宋体" w:hAnsi="宋体" w:cs="宋体"/>
          <w:sz w:val="24"/>
          <w:szCs w:val="24"/>
        </w:rPr>
      </w:r>
      <w:r/>
    </w:p>
    <w:p>
      <w:pPr>
        <w:pStyle w:val="797"/>
        <w:ind w:firstLine="480"/>
        <w:spacing w:line="480" w:lineRule="auto"/>
        <w:tabs>
          <w:tab w:val="left" w:pos="900" w:leader="none"/>
        </w:tabs>
        <w:rPr>
          <w:rFonts w:hint="eastAsia" w:ascii="宋体" w:hAnsi="宋体" w:cs="宋体"/>
          <w:b/>
          <w:bCs/>
          <w:sz w:val="24"/>
          <w:szCs w:val="24"/>
        </w:rPr>
      </w:pPr>
      <w:r>
        <w:rPr>
          <w:rFonts w:hint="eastAsia" w:ascii="宋体" w:hAnsi="宋体" w:cs="宋体"/>
          <w:sz w:val="24"/>
          <w:szCs w:val="24"/>
        </w:rPr>
        <w:t xml:space="preserve">磋商小组根据综合评分情况，按照评审得分由高到低顺序推荐成交候选供应商，并编写评审报告。</w:t>
      </w:r>
      <w:r>
        <w:rPr>
          <w:rFonts w:hint="eastAsia" w:ascii="宋体" w:hAnsi="宋体" w:cs="宋体"/>
          <w:b/>
          <w:bCs/>
          <w:sz w:val="24"/>
          <w:szCs w:val="24"/>
        </w:rPr>
      </w:r>
      <w:r/>
    </w:p>
    <w:p>
      <w:pPr>
        <w:pStyle w:val="797"/>
        <w:ind w:firstLine="482"/>
        <w:spacing w:line="480" w:lineRule="auto"/>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六、质疑处理</w:t>
      </w:r>
      <w:r>
        <w:rPr>
          <w:rFonts w:hint="eastAsia" w:ascii="宋体" w:hAnsi="宋体" w:cs="宋体"/>
          <w:b/>
          <w:bCs/>
          <w:color w:val="000000"/>
          <w:sz w:val="24"/>
          <w:szCs w:val="24"/>
        </w:rPr>
      </w:r>
      <w:r/>
    </w:p>
    <w:p>
      <w:pPr>
        <w:pStyle w:val="797"/>
        <w:ind w:firstLine="480"/>
        <w:jc w:val="left"/>
        <w:spacing w:line="360" w:lineRule="auto"/>
        <w:rPr>
          <w:rFonts w:hint="eastAsia" w:ascii="宋体" w:hAnsi="宋体" w:cs="宋体"/>
          <w:color w:val="000000"/>
          <w:sz w:val="24"/>
          <w:szCs w:val="24"/>
        </w:rPr>
      </w:pPr>
      <w:r/>
      <w:bookmarkStart w:id="114" w:name="_Toc20823309"/>
      <w:r/>
      <w:bookmarkStart w:id="115" w:name="_Toc16938553"/>
      <w:r/>
      <w:bookmarkStart w:id="116" w:name="_Toc513029237"/>
      <w:r>
        <w:rPr>
          <w:rFonts w:hint="eastAsia" w:ascii="宋体" w:hAnsi="宋体" w:cs="宋体"/>
          <w:color w:val="000000"/>
          <w:sz w:val="24"/>
          <w:szCs w:val="24"/>
        </w:rPr>
        <w:t xml:space="preserve">1、供应商认为采购文件、采购过程或成交结果使自己的权益受到损害的，可以在知道或者应知其权益受到损害之日起7个工作日内（以采购人或代理机构实际收到日期为准），以书面形式向采购人或代理机构提出质疑。采购人在收到投标人书面质疑后7个工作日内作出答复。</w:t>
      </w:r>
      <w:r>
        <w:rPr>
          <w:rFonts w:hint="eastAsia" w:ascii="宋体" w:hAnsi="宋体" w:cs="宋体"/>
          <w:color w:val="000000"/>
          <w:sz w:val="24"/>
          <w:szCs w:val="24"/>
        </w:rPr>
      </w:r>
      <w:r/>
    </w:p>
    <w:p>
      <w:pPr>
        <w:pStyle w:val="79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2、本次采购要求供应商在法定质疑期内一次性提出针对同一采购程序环节的质疑。</w:t>
      </w:r>
      <w:r>
        <w:rPr>
          <w:rFonts w:hint="eastAsia" w:ascii="宋体" w:hAnsi="宋体" w:cs="宋体"/>
          <w:color w:val="000000"/>
          <w:sz w:val="24"/>
          <w:szCs w:val="24"/>
        </w:rPr>
      </w:r>
      <w:r/>
    </w:p>
    <w:p>
      <w:pPr>
        <w:pStyle w:val="79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3、供应商提出质疑应当提交质疑函和必要的证明材料，质疑函应当包括下列内容：</w:t>
      </w:r>
      <w:r>
        <w:rPr>
          <w:rFonts w:hint="eastAsia" w:ascii="宋体" w:hAnsi="宋体" w:cs="宋体"/>
          <w:color w:val="000000"/>
          <w:sz w:val="24"/>
          <w:szCs w:val="24"/>
        </w:rPr>
      </w:r>
      <w:r/>
    </w:p>
    <w:p>
      <w:pPr>
        <w:pStyle w:val="79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rPr>
          <w:rFonts w:hint="eastAsia" w:ascii="宋体" w:hAnsi="宋体" w:cs="宋体"/>
          <w:color w:val="000000"/>
          <w:sz w:val="24"/>
          <w:szCs w:val="24"/>
        </w:rPr>
      </w:r>
      <w:r/>
    </w:p>
    <w:p>
      <w:pPr>
        <w:pStyle w:val="79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rPr>
          <w:rFonts w:hint="eastAsia" w:ascii="宋体" w:hAnsi="宋体" w:cs="宋体"/>
          <w:color w:val="000000"/>
          <w:sz w:val="24"/>
          <w:szCs w:val="24"/>
        </w:rPr>
      </w:r>
      <w:r/>
    </w:p>
    <w:p>
      <w:pPr>
        <w:pStyle w:val="79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rPr>
          <w:rFonts w:hint="eastAsia" w:ascii="宋体" w:hAnsi="宋体" w:cs="宋体"/>
          <w:color w:val="000000"/>
          <w:sz w:val="24"/>
          <w:szCs w:val="24"/>
        </w:rPr>
      </w:r>
      <w:r/>
    </w:p>
    <w:p>
      <w:pPr>
        <w:pStyle w:val="79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（4）事实依据；</w:t>
      </w:r>
      <w:r>
        <w:rPr>
          <w:rFonts w:hint="eastAsia" w:ascii="宋体" w:hAnsi="宋体" w:cs="宋体"/>
          <w:color w:val="000000"/>
          <w:sz w:val="24"/>
          <w:szCs w:val="24"/>
        </w:rPr>
      </w:r>
      <w:r/>
    </w:p>
    <w:p>
      <w:pPr>
        <w:pStyle w:val="79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（5）必要的法律依据；</w:t>
      </w:r>
      <w:r>
        <w:rPr>
          <w:rFonts w:hint="eastAsia" w:ascii="宋体" w:hAnsi="宋体" w:cs="宋体"/>
          <w:color w:val="000000"/>
          <w:sz w:val="24"/>
          <w:szCs w:val="24"/>
        </w:rPr>
      </w:r>
      <w:r/>
    </w:p>
    <w:p>
      <w:pPr>
        <w:pStyle w:val="79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rPr>
          <w:rFonts w:hint="eastAsia" w:ascii="宋体" w:hAnsi="宋体" w:cs="宋体"/>
          <w:color w:val="000000"/>
          <w:sz w:val="24"/>
          <w:szCs w:val="24"/>
        </w:rPr>
      </w:r>
      <w:r/>
    </w:p>
    <w:p>
      <w:pPr>
        <w:pStyle w:val="916"/>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Cs w:val="24"/>
        </w:rPr>
      </w:r>
      <w:r/>
    </w:p>
    <w:p>
      <w:pPr>
        <w:pStyle w:val="916"/>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w:t>
      </w:r>
      <w:r>
        <w:rPr>
          <w:rFonts w:hint="eastAsia" w:ascii="宋体" w:hAnsi="宋体" w:eastAsia="宋体" w:cs="宋体"/>
          <w:b/>
          <w:color w:val="000000"/>
          <w:szCs w:val="24"/>
        </w:rPr>
        <w:t xml:space="preserve">（即《投标供应商确认函》）</w:t>
      </w:r>
      <w:r>
        <w:rPr>
          <w:rFonts w:hint="eastAsia" w:ascii="宋体" w:hAnsi="宋体" w:eastAsia="宋体" w:cs="宋体"/>
          <w:color w:val="000000"/>
          <w:szCs w:val="24"/>
        </w:rPr>
        <w:t xml:space="preserve">与质疑函一起递交，否则不予受理。</w:t>
      </w:r>
      <w:r>
        <w:rPr>
          <w:rFonts w:hint="eastAsia" w:ascii="宋体" w:hAnsi="宋体" w:eastAsia="宋体" w:cs="宋体"/>
          <w:color w:val="000000"/>
          <w:szCs w:val="24"/>
        </w:rPr>
      </w:r>
      <w:r/>
    </w:p>
    <w:p>
      <w:pPr>
        <w:pStyle w:val="916"/>
        <w:ind w:firstLine="480"/>
        <w:spacing w:line="360" w:lineRule="auto"/>
        <w:rPr>
          <w:rFonts w:hint="eastAsia"/>
          <w:color w:val="000000"/>
        </w:rPr>
      </w:pPr>
      <w:r>
        <w:rPr>
          <w:rFonts w:hint="eastAsia" w:ascii="宋体" w:hAnsi="宋体" w:eastAsia="宋体" w:cs="宋体"/>
          <w:color w:val="000000"/>
          <w:szCs w:val="24"/>
        </w:rPr>
        <w:t xml:space="preserve">5、接收质疑函的方式：书面形式（当场送达或邮寄方式），提出质疑的日期以采购人或代理机构实际收到日期为准。</w:t>
      </w:r>
      <w:r>
        <w:rPr>
          <w:rFonts w:hint="eastAsia"/>
          <w:color w:val="000000"/>
        </w:rPr>
      </w:r>
      <w:r/>
    </w:p>
    <w:p>
      <w:pPr>
        <w:pStyle w:val="797"/>
        <w:ind w:firstLine="482"/>
        <w:spacing w:line="480" w:lineRule="auto"/>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6、特别声明：请供应商认真阅读本竞争性磋商采购文件，如有异议，请于响应文件递交截止时间前一日提出，否则进入磋商程序后，所有关于采购文件的质疑视为无效。</w:t>
      </w:r>
      <w:r>
        <w:rPr>
          <w:rFonts w:hint="eastAsia" w:ascii="宋体" w:hAnsi="宋体" w:cs="宋体"/>
          <w:b/>
          <w:color w:val="000000"/>
          <w:sz w:val="24"/>
          <w:szCs w:val="24"/>
        </w:rPr>
      </w:r>
      <w:r/>
    </w:p>
    <w:p>
      <w:pPr>
        <w:pStyle w:val="797"/>
        <w:ind w:firstLine="482"/>
        <w:spacing w:line="480" w:lineRule="auto"/>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七、合同签订相关事项</w:t>
      </w:r>
      <w:r>
        <w:rPr>
          <w:rFonts w:hint="eastAsia" w:ascii="宋体" w:hAnsi="宋体" w:cs="宋体"/>
          <w:b/>
          <w:color w:val="000000"/>
          <w:sz w:val="24"/>
          <w:szCs w:val="24"/>
        </w:rPr>
      </w:r>
      <w:r/>
    </w:p>
    <w:p>
      <w:pPr>
        <w:pStyle w:val="797"/>
        <w:ind w:firstLine="480"/>
        <w:spacing w:line="48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1.签订合同</w:t>
      </w:r>
      <w:r>
        <w:rPr>
          <w:rFonts w:hint="eastAsia" w:ascii="宋体" w:hAnsi="宋体" w:cs="宋体"/>
          <w:color w:val="000000"/>
          <w:sz w:val="24"/>
          <w:szCs w:val="24"/>
        </w:rPr>
      </w:r>
      <w:r/>
    </w:p>
    <w:p>
      <w:pPr>
        <w:pStyle w:val="797"/>
        <w:ind w:firstLine="480"/>
        <w:spacing w:line="48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1.1成交供应商应按成交通知书规定的时间、地点，按照磋商文件确定的事项与采购人签订政府采购合同，且不得迟于成交通知书发出之日起三十日内，否则由此给采购人造成损失的，成交供应商还应承担赔偿责任。</w:t>
      </w:r>
      <w:r>
        <w:rPr>
          <w:rFonts w:hint="eastAsia" w:ascii="宋体" w:hAnsi="宋体" w:cs="宋体"/>
          <w:color w:val="000000"/>
          <w:sz w:val="24"/>
          <w:szCs w:val="24"/>
        </w:rPr>
      </w:r>
      <w:r/>
    </w:p>
    <w:p>
      <w:pPr>
        <w:pStyle w:val="797"/>
        <w:ind w:firstLine="480"/>
        <w:spacing w:line="48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1.2磋商文件、成交供应商的响应文件及磋商采购过程中有关澄清、承诺文件均应作为合同附件。</w:t>
      </w:r>
      <w:r>
        <w:rPr>
          <w:rFonts w:hint="eastAsia" w:ascii="宋体" w:hAnsi="宋体" w:cs="宋体"/>
          <w:color w:val="000000"/>
          <w:sz w:val="24"/>
          <w:szCs w:val="24"/>
        </w:rPr>
      </w:r>
      <w:r/>
    </w:p>
    <w:p>
      <w:pPr>
        <w:pStyle w:val="797"/>
        <w:ind w:firstLine="480"/>
        <w:spacing w:line="48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1.3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hint="eastAsia" w:ascii="宋体" w:hAnsi="宋体" w:cs="宋体"/>
          <w:color w:val="000000"/>
          <w:sz w:val="24"/>
          <w:szCs w:val="24"/>
        </w:rPr>
      </w:r>
      <w:r/>
    </w:p>
    <w:p>
      <w:pPr>
        <w:pStyle w:val="797"/>
        <w:ind w:firstLine="482"/>
        <w:spacing w:line="480" w:lineRule="auto"/>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八、特别提醒</w:t>
      </w:r>
      <w:r>
        <w:rPr>
          <w:rFonts w:hint="eastAsia" w:ascii="宋体" w:hAnsi="宋体" w:cs="宋体"/>
          <w:b/>
          <w:color w:val="000000"/>
          <w:sz w:val="24"/>
          <w:szCs w:val="24"/>
        </w:rPr>
      </w:r>
      <w:r/>
    </w:p>
    <w:p>
      <w:pPr>
        <w:pStyle w:val="797"/>
        <w:ind w:firstLine="480"/>
        <w:spacing w:line="48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1、供应商如有提供不实评审材料，弄虚作假者，一律作废标处理，该不良行为将予以公示。</w:t>
      </w:r>
      <w:r>
        <w:rPr>
          <w:rFonts w:hint="eastAsia" w:ascii="宋体" w:hAnsi="宋体" w:cs="宋体"/>
          <w:color w:val="000000"/>
          <w:sz w:val="24"/>
          <w:szCs w:val="24"/>
        </w:rPr>
      </w:r>
      <w:r/>
    </w:p>
    <w:p>
      <w:pPr>
        <w:pStyle w:val="797"/>
        <w:ind w:firstLine="482"/>
        <w:spacing w:line="480"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2、在本项目评审结束前，各供应商授权代表应关注苏采云系统提醒并保持手机畅通，以便及时作出澄清、参加磋商和提交最后报价；否则由此产生的风险由供应商自行承担，未在规定时间内参加磋商和提交最后报价视同退出采购活动，作无效响应处理。</w:t>
      </w:r>
      <w:r>
        <w:rPr>
          <w:rFonts w:ascii="宋体" w:hAnsi="宋体" w:cs="宋体"/>
          <w:b/>
          <w:bCs/>
          <w:color w:val="000000"/>
          <w:sz w:val="24"/>
          <w:szCs w:val="24"/>
        </w:rPr>
      </w:r>
      <w:r/>
    </w:p>
    <w:p>
      <w:pPr>
        <w:pStyle w:val="799"/>
        <w:jc w:val="center"/>
        <w:spacing w:before="0" w:after="0"/>
        <w:tabs>
          <w:tab w:val="left" w:pos="420" w:leader="none"/>
          <w:tab w:val="left" w:pos="560" w:leader="none"/>
        </w:tabs>
        <w:rPr>
          <w:rStyle w:val="809"/>
          <w:rFonts w:hint="eastAsia" w:ascii="宋体" w:hAnsi="宋体" w:cs="宋体"/>
          <w:sz w:val="28"/>
          <w:szCs w:val="28"/>
        </w:rPr>
      </w:pPr>
      <w:r/>
      <w:bookmarkEnd w:id="114"/>
      <w:r/>
      <w:bookmarkEnd w:id="115"/>
      <w:r/>
      <w:bookmarkEnd w:id="116"/>
      <w:r>
        <w:rPr>
          <w:rFonts w:hint="eastAsia" w:ascii="宋体" w:hAnsi="宋体" w:cs="宋体"/>
          <w:sz w:val="21"/>
          <w:szCs w:val="21"/>
        </w:rPr>
        <w:br w:type="page" w:clear="all"/>
      </w:r>
      <w:bookmarkStart w:id="117" w:name="_Toc6129"/>
      <w:r>
        <w:rPr>
          <w:rStyle w:val="809"/>
          <w:rFonts w:hint="eastAsia" w:ascii="宋体" w:hAnsi="宋体" w:cs="宋体"/>
          <w:sz w:val="28"/>
          <w:szCs w:val="28"/>
        </w:rPr>
        <w:t xml:space="preserve">第三章 </w:t>
      </w:r>
      <w:r>
        <w:rPr>
          <w:rStyle w:val="809"/>
          <w:rFonts w:hint="eastAsia" w:ascii="宋体" w:hAnsi="宋体" w:cs="宋体"/>
          <w:sz w:val="28"/>
          <w:szCs w:val="28"/>
          <w:highlight w:val="none"/>
        </w:rPr>
        <w:t xml:space="preserve"> 合同条款及格式</w:t>
      </w:r>
      <w:bookmarkEnd w:id="117"/>
      <w:r>
        <w:rPr>
          <w:rStyle w:val="809"/>
          <w:rFonts w:hint="eastAsia" w:ascii="宋体" w:hAnsi="宋体" w:cs="宋体"/>
          <w:sz w:val="28"/>
          <w:szCs w:val="28"/>
        </w:rPr>
      </w:r>
      <w:r/>
    </w:p>
    <w:p>
      <w:pPr>
        <w:pStyle w:val="799"/>
        <w:jc w:val="center"/>
        <w:spacing w:before="0" w:after="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合同草案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97"/>
        <w:ind w:firstLine="480"/>
        <w:spacing w:line="460" w:lineRule="exact"/>
        <w:rPr>
          <w:rFonts w:hint="eastAsia" w:ascii="宋体" w:hAnsi="宋体"/>
          <w:szCs w:val="21"/>
        </w:rPr>
      </w:pPr>
      <w:r>
        <w:rPr>
          <w:rFonts w:hint="eastAsia" w:ascii="宋体" w:hAnsi="宋体" w:cs="宋体"/>
          <w:bCs/>
          <w:sz w:val="24"/>
          <w:szCs w:val="24"/>
        </w:rPr>
        <w:t xml:space="preserve">以下为采购人与成交供应商签订本项目合同的通用条款，成交供应商不得提出实质性的修改，关于专用条款将由采购人与成交供应商结合本项目具体情况协商后签订。</w:t>
      </w:r>
      <w:r>
        <w:rPr>
          <w:rFonts w:hint="eastAsia" w:ascii="宋体" w:hAnsi="宋体"/>
          <w:szCs w:val="21"/>
        </w:rPr>
      </w:r>
      <w:r/>
    </w:p>
    <w:p>
      <w:pPr>
        <w:pStyle w:val="797"/>
        <w:ind w:firstLine="480"/>
        <w:spacing w:before="19"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项目名称：泰州市区计划生育特殊困难家庭对象住院护理及大病保险</w:t>
      </w:r>
      <w:r>
        <w:rPr>
          <w:rFonts w:hint="eastAsia" w:ascii="宋体" w:hAnsi="宋体" w:eastAsia="宋体" w:cs="宋体"/>
          <w:sz w:val="24"/>
          <w:szCs w:val="24"/>
        </w:rPr>
      </w:r>
      <w:r/>
    </w:p>
    <w:p>
      <w:pPr>
        <w:pStyle w:val="797"/>
        <w:ind w:firstLine="480"/>
        <w:spacing w:before="19"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 </w:t>
      </w:r>
      <w:r>
        <w:rPr>
          <w:rFonts w:hint="eastAsia" w:ascii="宋体" w:hAnsi="宋体" w:eastAsia="宋体" w:cs="宋体"/>
          <w:sz w:val="24"/>
          <w:szCs w:val="24"/>
        </w:rPr>
      </w:r>
      <w:r/>
    </w:p>
    <w:p>
      <w:pPr>
        <w:pStyle w:val="797"/>
        <w:ind w:firstLine="480"/>
        <w:spacing w:before="19"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甲方：（采购人、采购人）泰州市卫生健康委员会</w:t>
      </w:r>
      <w:r>
        <w:rPr>
          <w:rFonts w:hint="eastAsia" w:ascii="宋体" w:hAnsi="宋体" w:eastAsia="宋体" w:cs="宋体"/>
          <w:sz w:val="24"/>
          <w:szCs w:val="24"/>
        </w:rPr>
      </w:r>
      <w:r/>
    </w:p>
    <w:p>
      <w:pPr>
        <w:pStyle w:val="797"/>
        <w:ind w:firstLine="480"/>
        <w:spacing w:before="19"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乙方：（供应商、成交供应商）　　　　　　　　</w:t>
      </w:r>
      <w:r>
        <w:rPr>
          <w:rFonts w:hint="eastAsia" w:ascii="宋体" w:hAnsi="宋体" w:eastAsia="宋体" w:cs="宋体"/>
          <w:sz w:val="24"/>
          <w:szCs w:val="24"/>
        </w:rPr>
      </w:r>
      <w:r/>
    </w:p>
    <w:p>
      <w:pPr>
        <w:pStyle w:val="797"/>
        <w:ind w:firstLine="480"/>
        <w:spacing w:before="19"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代理机构：江苏经纬会计师事务所有限公司</w:t>
      </w:r>
      <w:r>
        <w:rPr>
          <w:rFonts w:hint="eastAsia" w:ascii="宋体" w:hAnsi="宋体" w:eastAsia="宋体" w:cs="宋体"/>
          <w:sz w:val="24"/>
          <w:szCs w:val="24"/>
        </w:rPr>
      </w:r>
      <w:r/>
    </w:p>
    <w:p>
      <w:pPr>
        <w:pStyle w:val="797"/>
        <w:ind w:firstLine="480"/>
        <w:spacing w:before="19"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甲、乙双方根据泰州市区计划生育特殊困难家庭对象住院护理及大病保险项目磋商采购的结果，签署本合同。</w:t>
      </w:r>
      <w:r>
        <w:rPr>
          <w:rFonts w:hint="eastAsia" w:ascii="宋体" w:hAnsi="宋体" w:eastAsia="宋体" w:cs="宋体"/>
          <w:sz w:val="24"/>
          <w:szCs w:val="24"/>
        </w:rPr>
      </w:r>
      <w:r/>
    </w:p>
    <w:p>
      <w:pPr>
        <w:pStyle w:val="797"/>
        <w:ind w:firstLine="463"/>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一、投保人、被保险人、保险人</w:t>
      </w:r>
      <w:r>
        <w:rPr>
          <w:rFonts w:hint="eastAsia" w:ascii="宋体" w:hAnsi="宋体" w:eastAsia="宋体" w:cs="宋体"/>
          <w:b/>
          <w:sz w:val="24"/>
          <w:szCs w:val="24"/>
        </w:rPr>
      </w:r>
      <w:r/>
    </w:p>
    <w:p>
      <w:pPr>
        <w:pStyle w:val="797"/>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（一）甲方为投保人（下文中统称“投保人”）。</w:t>
      </w:r>
      <w:r>
        <w:rPr>
          <w:rFonts w:hint="eastAsia" w:ascii="宋体" w:hAnsi="宋体" w:eastAsia="宋体" w:cs="宋体"/>
          <w:sz w:val="24"/>
          <w:szCs w:val="24"/>
        </w:rPr>
      </w:r>
      <w:r/>
    </w:p>
    <w:p>
      <w:pPr>
        <w:pStyle w:val="797"/>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被保险人：泰州市区户籍人口中独生子女死亡或伤残（经依法鉴定为残疾、伤、病残等级达到三级（含三级）以上）后未生育并经卫生健康部门审定领取计划生育家庭特别扶助金的父母（下文统称“被保险人）。甲方应将为被保险人投保本合同项下保险的相关内容告知被保险人。</w:t>
      </w:r>
      <w:r>
        <w:rPr>
          <w:rFonts w:hint="eastAsia" w:ascii="宋体" w:hAnsi="宋体" w:eastAsia="宋体" w:cs="宋体"/>
          <w:sz w:val="24"/>
          <w:szCs w:val="24"/>
        </w:rPr>
      </w:r>
      <w:r/>
    </w:p>
    <w:p>
      <w:pPr>
        <w:pStyle w:val="797"/>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（三）乙方为保险人（下文中统称“保险人”）。</w:t>
      </w:r>
      <w:r>
        <w:rPr>
          <w:rFonts w:hint="eastAsia" w:ascii="宋体" w:hAnsi="宋体" w:eastAsia="宋体" w:cs="宋体"/>
          <w:sz w:val="24"/>
          <w:szCs w:val="24"/>
        </w:rPr>
      </w:r>
      <w:r/>
    </w:p>
    <w:p>
      <w:pPr>
        <w:pStyle w:val="797"/>
        <w:ind w:firstLine="482"/>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二、合作方式、资金结算</w:t>
      </w:r>
      <w:r>
        <w:rPr>
          <w:rFonts w:hint="eastAsia" w:ascii="宋体" w:hAnsi="宋体" w:eastAsia="宋体" w:cs="宋体"/>
          <w:b/>
          <w:sz w:val="24"/>
          <w:szCs w:val="24"/>
        </w:rPr>
      </w:r>
      <w:r/>
    </w:p>
    <w:p>
      <w:pPr>
        <w:pStyle w:val="797"/>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（一）甲方代表被保险人员统一向乙方投保，按参保人数每人每年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元标准作为保险费支付给乙方，并提供参保人员花名册。第一批被保险人的保险费，乙方先行垫付，待甲方市、区分级承担的财政资金到位后，一次性划入乙方账户。</w:t>
      </w:r>
      <w:r>
        <w:rPr>
          <w:rFonts w:hint="eastAsia" w:ascii="宋体" w:hAnsi="宋体" w:eastAsia="宋体" w:cs="宋体"/>
          <w:sz w:val="24"/>
          <w:szCs w:val="24"/>
        </w:rPr>
      </w:r>
      <w:r/>
    </w:p>
    <w:p>
      <w:pPr>
        <w:pStyle w:val="797"/>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保险期间如有被保险人增加，则甲方应以书面形式或通过授权邮箱通知乙方。乙方经审核同意后的次日零时起，开始对新增的被保险人承担保险责任，并按新增加人员的实际保险期间收取保险费。新增被保险人的保险期间以批单载明的日期为准。新增被保险人保险费的具体计算公式为：应收保险费=完整保险期间保险费*（加保人员实际保险天数/完整保险期间天数）。新增被保险人保费年底统一结算。</w:t>
      </w: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（二）乙方按双方签订的合同和双方确定并共同遵守的相关法规和政策履行相应保险责任和义务。</w:t>
      </w: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（三）乙方指定专门服务人员为甲方提供专业服务。</w:t>
      </w:r>
      <w:r>
        <w:rPr>
          <w:rFonts w:hint="eastAsia" w:ascii="宋体" w:hAnsi="宋体" w:eastAsia="宋体" w:cs="宋体"/>
          <w:sz w:val="24"/>
          <w:szCs w:val="24"/>
        </w:rPr>
      </w:r>
      <w:r/>
    </w:p>
    <w:p>
      <w:pPr>
        <w:pStyle w:val="797"/>
        <w:ind w:firstLine="482"/>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三、保险期间、保险计划</w:t>
      </w:r>
      <w:r>
        <w:rPr>
          <w:rFonts w:hint="eastAsia" w:ascii="宋体" w:hAnsi="宋体" w:eastAsia="宋体" w:cs="宋体"/>
          <w:b/>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（一）保险责任起止时间为：2026年1月1日零时至2026年12月31日二十四时</w:t>
      </w: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(二)被保险人每人每保险年度保险计划如下表：</w:t>
      </w:r>
      <w:r>
        <w:rPr>
          <w:rFonts w:hint="eastAsia" w:ascii="宋体" w:hAnsi="宋体" w:eastAsia="宋体" w:cs="宋体"/>
          <w:sz w:val="24"/>
          <w:szCs w:val="24"/>
        </w:rPr>
      </w:r>
      <w:r/>
    </w:p>
    <w:p>
      <w:pPr>
        <w:pStyle w:val="797"/>
        <w:spacing w:line="400" w:lineRule="exact"/>
        <w:rPr>
          <w:rFonts w:hint="eastAsia" w:ascii="宋体" w:hAnsi="宋体" w:eastAsia="宋体" w:cs="宋体"/>
          <w:b/>
          <w:sz w:val="24"/>
          <w:szCs w:val="24"/>
        </w:rPr>
      </w:pPr>
      <w:r>
        <w:rPr>
          <w:rFonts w:hint="eastAsia" w:ascii="宋体" w:hAnsi="宋体" w:eastAsia="宋体" w:cs="宋体"/>
          <w:b/>
          <w:sz w:val="24"/>
          <w:szCs w:val="24"/>
        </w:rPr>
      </w:r>
      <w:r/>
    </w:p>
    <w:tbl>
      <w:tblPr>
        <w:tblW w:w="485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9"/>
        <w:gridCol w:w="1819"/>
        <w:gridCol w:w="3140"/>
        <w:gridCol w:w="1490"/>
      </w:tblGrid>
      <w:tr>
        <w:trPr>
          <w:trHeight w:val="894"/>
        </w:trPr>
        <w:tc>
          <w:tcPr>
            <w:tcW w:w="1100" w:type="dxa"/>
            <w:vAlign w:val="center"/>
            <w:textDirection w:val="lrTb"/>
            <w:noWrap w:val="false"/>
          </w:tcPr>
          <w:p>
            <w:pPr>
              <w:pStyle w:val="797"/>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保险项目</w:t>
            </w:r>
            <w:r>
              <w:rPr>
                <w:rFonts w:hint="eastAsia" w:ascii="宋体" w:hAnsi="宋体" w:eastAsia="宋体" w:cs="宋体"/>
                <w:b/>
                <w:sz w:val="24"/>
                <w:szCs w:val="24"/>
              </w:rPr>
            </w:r>
            <w:r/>
          </w:p>
        </w:tc>
        <w:tc>
          <w:tcPr>
            <w:tcW w:w="1100" w:type="dxa"/>
            <w:vAlign w:val="center"/>
            <w:textDirection w:val="lrTb"/>
            <w:noWrap w:val="false"/>
          </w:tcPr>
          <w:p>
            <w:pPr>
              <w:pStyle w:val="797"/>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保险责任</w:t>
            </w:r>
            <w:r>
              <w:rPr>
                <w:rFonts w:hint="eastAsia" w:ascii="宋体" w:hAnsi="宋体" w:eastAsia="宋体" w:cs="宋体"/>
                <w:b/>
                <w:sz w:val="24"/>
                <w:szCs w:val="24"/>
              </w:rPr>
            </w:r>
            <w:r/>
          </w:p>
        </w:tc>
        <w:tc>
          <w:tcPr>
            <w:tcW w:w="1899" w:type="dxa"/>
            <w:vAlign w:val="center"/>
            <w:textDirection w:val="lrTb"/>
            <w:noWrap w:val="false"/>
          </w:tcPr>
          <w:p>
            <w:pPr>
              <w:pStyle w:val="797"/>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保险责任简要描述</w:t>
            </w:r>
            <w:r>
              <w:rPr>
                <w:rFonts w:hint="eastAsia" w:ascii="宋体" w:hAnsi="宋体" w:eastAsia="宋体" w:cs="宋体"/>
                <w:b/>
                <w:sz w:val="24"/>
                <w:szCs w:val="24"/>
              </w:rPr>
            </w:r>
            <w:r/>
          </w:p>
        </w:tc>
        <w:tc>
          <w:tcPr>
            <w:tcW w:w="901" w:type="dxa"/>
            <w:vAlign w:val="center"/>
            <w:textDirection w:val="lrTb"/>
            <w:noWrap w:val="false"/>
          </w:tcPr>
          <w:p>
            <w:pPr>
              <w:pStyle w:val="797"/>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保险金额（元）</w:t>
            </w:r>
            <w:r>
              <w:rPr>
                <w:rFonts w:hint="eastAsia" w:ascii="宋体" w:hAnsi="宋体" w:eastAsia="宋体" w:cs="宋体"/>
                <w:b/>
                <w:sz w:val="24"/>
                <w:szCs w:val="24"/>
              </w:rPr>
            </w:r>
            <w:r/>
          </w:p>
        </w:tc>
      </w:tr>
      <w:tr>
        <w:trPr>
          <w:cantSplit/>
          <w:trHeight w:val="652"/>
        </w:trPr>
        <w:tc>
          <w:tcPr>
            <w:tcW w:w="1100" w:type="dxa"/>
            <w:vAlign w:val="center"/>
            <w:textDirection w:val="lrTb"/>
            <w:noWrap w:val="false"/>
          </w:tcPr>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住院补贴团体医疗保险</w:t>
            </w:r>
            <w:r>
              <w:rPr>
                <w:rFonts w:hint="eastAsia" w:ascii="宋体" w:hAnsi="宋体" w:eastAsia="宋体" w:cs="宋体"/>
                <w:sz w:val="24"/>
                <w:szCs w:val="24"/>
              </w:rPr>
            </w:r>
            <w:r/>
          </w:p>
        </w:tc>
        <w:tc>
          <w:tcPr>
            <w:tcW w:w="1100" w:type="dxa"/>
            <w:vAlign w:val="center"/>
            <w:textDirection w:val="lrTb"/>
            <w:noWrap w:val="false"/>
          </w:tcPr>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住院补贴保障</w:t>
            </w:r>
            <w:r>
              <w:rPr>
                <w:rFonts w:hint="eastAsia" w:ascii="宋体" w:hAnsi="宋体" w:eastAsia="宋体" w:cs="宋体"/>
                <w:sz w:val="24"/>
                <w:szCs w:val="24"/>
              </w:rPr>
            </w:r>
            <w:r/>
          </w:p>
        </w:tc>
        <w:tc>
          <w:tcPr>
            <w:tcW w:w="1899" w:type="dxa"/>
            <w:vAlign w:val="center"/>
            <w:textDirection w:val="lrTb"/>
            <w:noWrap w:val="false"/>
          </w:tcPr>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按实际住院天数给付，</w:t>
            </w:r>
            <w:r>
              <w:rPr>
                <w:rFonts w:hint="eastAsia" w:ascii="宋体" w:hAnsi="宋体" w:eastAsia="宋体" w:cs="宋体"/>
                <w:b/>
                <w:sz w:val="24"/>
                <w:szCs w:val="24"/>
                <w:shd w:val="pct10" w:color="auto" w:fill="ffffff"/>
              </w:rPr>
              <w:t xml:space="preserve">年度累计最高赔付以80天为限</w:t>
            </w:r>
            <w:r>
              <w:rPr>
                <w:rFonts w:hint="eastAsia" w:ascii="宋体" w:hAnsi="宋体" w:eastAsia="宋体" w:cs="宋体"/>
                <w:sz w:val="24"/>
                <w:szCs w:val="24"/>
              </w:rPr>
              <w:t xml:space="preserve">，其余详见保险责任描述</w:t>
            </w:r>
            <w:r>
              <w:rPr>
                <w:rFonts w:hint="eastAsia" w:ascii="宋体" w:hAnsi="宋体" w:eastAsia="宋体" w:cs="宋体"/>
                <w:sz w:val="24"/>
                <w:szCs w:val="24"/>
              </w:rPr>
            </w:r>
            <w:r/>
          </w:p>
        </w:tc>
        <w:tc>
          <w:tcPr>
            <w:tcW w:w="901" w:type="dxa"/>
            <w:vAlign w:val="center"/>
            <w:textDirection w:val="lrTb"/>
            <w:noWrap w:val="false"/>
          </w:tcPr>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150元/天</w:t>
            </w:r>
            <w:r>
              <w:rPr>
                <w:rFonts w:hint="eastAsia" w:ascii="宋体" w:hAnsi="宋体" w:eastAsia="宋体" w:cs="宋体"/>
                <w:sz w:val="24"/>
                <w:szCs w:val="24"/>
              </w:rPr>
            </w:r>
            <w:r/>
          </w:p>
        </w:tc>
      </w:tr>
      <w:tr>
        <w:trPr>
          <w:cantSplit/>
          <w:trHeight w:val="1008"/>
        </w:trPr>
        <w:tc>
          <w:tcPr>
            <w:tcW w:w="1100" w:type="dxa"/>
            <w:vAlign w:val="center"/>
            <w:textDirection w:val="lrTb"/>
            <w:noWrap w:val="false"/>
          </w:tcPr>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团体重大疾病保险</w:t>
            </w:r>
            <w:r>
              <w:rPr>
                <w:rFonts w:hint="eastAsia" w:ascii="宋体" w:hAnsi="宋体" w:eastAsia="宋体" w:cs="宋体"/>
                <w:sz w:val="24"/>
                <w:szCs w:val="24"/>
              </w:rPr>
            </w:r>
            <w:r/>
          </w:p>
        </w:tc>
        <w:tc>
          <w:tcPr>
            <w:tcW w:w="1100" w:type="dxa"/>
            <w:vAlign w:val="center"/>
            <w:textDirection w:val="lrTb"/>
            <w:noWrap w:val="false"/>
          </w:tcPr>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重大疾病保障</w:t>
            </w:r>
            <w:r>
              <w:rPr>
                <w:rFonts w:hint="eastAsia" w:ascii="宋体" w:hAnsi="宋体" w:eastAsia="宋体" w:cs="宋体"/>
                <w:sz w:val="24"/>
                <w:szCs w:val="24"/>
              </w:rPr>
            </w:r>
            <w:r/>
          </w:p>
        </w:tc>
        <w:tc>
          <w:tcPr>
            <w:tcW w:w="1899" w:type="dxa"/>
            <w:vAlign w:val="center"/>
            <w:textDirection w:val="lrTb"/>
            <w:noWrap w:val="false"/>
          </w:tcPr>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详见保险责任描述</w:t>
            </w:r>
            <w:r>
              <w:rPr>
                <w:rFonts w:hint="eastAsia" w:ascii="宋体" w:hAnsi="宋体" w:eastAsia="宋体" w:cs="宋体"/>
                <w:sz w:val="24"/>
                <w:szCs w:val="24"/>
              </w:rPr>
            </w:r>
            <w:r/>
          </w:p>
        </w:tc>
        <w:tc>
          <w:tcPr>
            <w:tcW w:w="901" w:type="dxa"/>
            <w:vAlign w:val="center"/>
            <w:textDirection w:val="lrTb"/>
            <w:noWrap w:val="false"/>
          </w:tcPr>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1万</w:t>
            </w:r>
            <w:r>
              <w:rPr>
                <w:rFonts w:hint="eastAsia" w:ascii="宋体" w:hAnsi="宋体" w:eastAsia="宋体" w:cs="宋体"/>
                <w:sz w:val="24"/>
                <w:szCs w:val="24"/>
              </w:rPr>
            </w:r>
            <w:r/>
          </w:p>
        </w:tc>
      </w:tr>
    </w:tbl>
    <w:p>
      <w:pPr>
        <w:pStyle w:val="797"/>
        <w:ind w:firstLine="236"/>
        <w:jc w:val="left"/>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（三）保险责任描述：</w:t>
      </w:r>
      <w:r>
        <w:rPr>
          <w:rFonts w:hint="eastAsia" w:ascii="宋体" w:hAnsi="宋体" w:eastAsia="宋体" w:cs="宋体"/>
          <w:b/>
          <w:sz w:val="24"/>
          <w:szCs w:val="24"/>
        </w:rPr>
      </w:r>
      <w:r/>
    </w:p>
    <w:p>
      <w:pPr>
        <w:pStyle w:val="797"/>
        <w:ind w:firstLine="482"/>
        <w:spacing w:line="400" w:lineRule="exact"/>
        <w:rPr>
          <w:rFonts w:hint="eastAsia" w:ascii="宋体" w:hAnsi="宋体" w:eastAsia="宋体" w:cs="宋体"/>
          <w:b/>
          <w:sz w:val="24"/>
          <w:szCs w:val="24"/>
        </w:rPr>
        <w:outlineLvl w:val="0"/>
      </w:pPr>
      <w:r/>
      <w:bookmarkStart w:id="118" w:name="_Toc14061"/>
      <w:r>
        <w:rPr>
          <w:rFonts w:hint="eastAsia" w:ascii="宋体" w:hAnsi="宋体" w:eastAsia="宋体" w:cs="宋体"/>
          <w:b/>
          <w:sz w:val="24"/>
          <w:szCs w:val="24"/>
        </w:rPr>
        <w:t xml:space="preserve">1）住院补贴保障：</w:t>
      </w:r>
      <w:bookmarkEnd w:id="118"/>
      <w:r>
        <w:rPr>
          <w:rFonts w:hint="eastAsia" w:ascii="宋体" w:hAnsi="宋体" w:eastAsia="宋体" w:cs="宋体"/>
          <w:b/>
          <w:sz w:val="24"/>
          <w:szCs w:val="24"/>
        </w:rPr>
      </w:r>
      <w:r/>
    </w:p>
    <w:p>
      <w:pPr>
        <w:pStyle w:val="797"/>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在本保险有效期间内，若被保险人因意外伤害或因意外伤害以外的原因在卫生行政部门认定的一级以上医院住院治疗，保险人按其实际住院天数乘以投保时双方约定的日住院补贴金额给付住院补贴保险金。</w:t>
      </w:r>
      <w:r>
        <w:rPr>
          <w:rFonts w:hint="eastAsia" w:ascii="宋体" w:hAnsi="宋体" w:eastAsia="宋体" w:cs="宋体"/>
          <w:sz w:val="24"/>
          <w:szCs w:val="24"/>
        </w:rPr>
      </w:r>
      <w:r/>
    </w:p>
    <w:p>
      <w:pPr>
        <w:pStyle w:val="797"/>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至保险期间届满住院仍未结束的，保险人继续承担本条前述所列的保险责任至住院结束，</w:t>
      </w:r>
      <w:r>
        <w:rPr>
          <w:rFonts w:hint="eastAsia" w:ascii="宋体" w:hAnsi="宋体" w:eastAsia="宋体" w:cs="宋体"/>
          <w:b/>
          <w:sz w:val="24"/>
          <w:szCs w:val="24"/>
          <w:shd w:val="pct10" w:color="auto" w:fill="ffffff"/>
        </w:rPr>
        <w:t xml:space="preserve">但最长不超过保险期间届满之日起第80日</w:t>
      </w:r>
      <w:r>
        <w:rPr>
          <w:rFonts w:hint="eastAsia" w:ascii="宋体" w:hAnsi="宋体" w:eastAsia="宋体" w:cs="宋体"/>
          <w:sz w:val="24"/>
          <w:szCs w:val="24"/>
        </w:rPr>
        <w:t xml:space="preserve">。在任何情况下，</w:t>
      </w:r>
      <w:r>
        <w:rPr>
          <w:rFonts w:hint="eastAsia" w:ascii="宋体" w:hAnsi="宋体" w:eastAsia="宋体" w:cs="宋体"/>
          <w:b/>
          <w:sz w:val="24"/>
          <w:szCs w:val="24"/>
          <w:shd w:val="pct10" w:color="auto" w:fill="ffffff"/>
        </w:rPr>
        <w:t xml:space="preserve">保险人对同一被保险人一次或多次累计给付住院补贴保险金的天数以80天为限，</w:t>
      </w:r>
      <w:r>
        <w:rPr>
          <w:rFonts w:hint="eastAsia" w:ascii="宋体" w:hAnsi="宋体" w:eastAsia="宋体" w:cs="宋体"/>
          <w:sz w:val="24"/>
          <w:szCs w:val="24"/>
        </w:rPr>
        <w:t xml:space="preserve">当一次或累计给付天数达到80天时，保险人对该被保险人的保险责任即时终止。</w:t>
      </w:r>
      <w:r>
        <w:rPr>
          <w:rFonts w:hint="eastAsia" w:ascii="宋体" w:hAnsi="宋体" w:eastAsia="宋体" w:cs="宋体"/>
          <w:sz w:val="24"/>
          <w:szCs w:val="24"/>
        </w:rPr>
      </w:r>
      <w:r/>
    </w:p>
    <w:p>
      <w:pPr>
        <w:pStyle w:val="797"/>
        <w:ind w:firstLine="482"/>
        <w:spacing w:line="400" w:lineRule="exact"/>
        <w:rPr>
          <w:rFonts w:hint="eastAsia" w:ascii="宋体" w:hAnsi="宋体" w:eastAsia="宋体" w:cs="宋体"/>
          <w:b/>
          <w:sz w:val="24"/>
          <w:szCs w:val="24"/>
        </w:rPr>
        <w:outlineLvl w:val="0"/>
      </w:pPr>
      <w:r/>
      <w:bookmarkStart w:id="119" w:name="_Toc27425"/>
      <w:r>
        <w:rPr>
          <w:rFonts w:hint="eastAsia" w:ascii="宋体" w:hAnsi="宋体" w:eastAsia="宋体" w:cs="宋体"/>
          <w:b/>
          <w:sz w:val="24"/>
          <w:szCs w:val="24"/>
        </w:rPr>
        <w:t xml:space="preserve">2）</w:t>
      </w:r>
      <w:r>
        <w:rPr>
          <w:rFonts w:hint="eastAsia" w:ascii="宋体" w:hAnsi="宋体" w:eastAsia="宋体" w:cs="宋体"/>
          <w:b/>
          <w:sz w:val="24"/>
          <w:szCs w:val="24"/>
        </w:rPr>
        <w:t xml:space="preserve">重大疾病保障</w:t>
      </w:r>
      <w:r>
        <w:rPr>
          <w:rFonts w:hint="eastAsia" w:ascii="宋体" w:hAnsi="宋体" w:eastAsia="宋体" w:cs="宋体"/>
          <w:b/>
          <w:sz w:val="24"/>
          <w:szCs w:val="24"/>
        </w:rPr>
        <w:t xml:space="preserve">：</w:t>
      </w:r>
      <w:bookmarkEnd w:id="119"/>
      <w:r>
        <w:rPr>
          <w:rFonts w:hint="eastAsia" w:ascii="宋体" w:hAnsi="宋体" w:eastAsia="宋体" w:cs="宋体"/>
          <w:b/>
          <w:sz w:val="24"/>
          <w:szCs w:val="24"/>
        </w:rPr>
      </w:r>
      <w:r/>
    </w:p>
    <w:p>
      <w:pPr>
        <w:pStyle w:val="797"/>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本保险有效期间内，若被保险人自保险人对其开始承担保险责任之日后被确诊初次患中国保险行业协会制定的《重大疾病保险的疾病定义使用规范》中列明的重大疾病（无论一种或多种）的(含恶性肿瘤发现新扩散的)，保险人按该被保险人对应的保险金额给付重大疾病保险金，保险金给付后保险人对该被保险人的保险责任终止。</w:t>
      </w:r>
      <w:r>
        <w:rPr>
          <w:rFonts w:hint="eastAsia" w:ascii="宋体" w:hAnsi="宋体" w:eastAsia="宋体" w:cs="宋体"/>
          <w:sz w:val="24"/>
          <w:szCs w:val="24"/>
        </w:rPr>
      </w:r>
      <w:r/>
    </w:p>
    <w:p>
      <w:pPr>
        <w:pStyle w:val="797"/>
        <w:ind w:right="-46" w:firstLine="480"/>
        <w:spacing w:line="40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3）住院补贴及重大疾病保障无等待期。被保险人在其他保险公司投保同一险种的不影响本保险的赔付。</w:t>
      </w:r>
      <w:r>
        <w:rPr>
          <w:rFonts w:hint="eastAsia" w:ascii="宋体" w:hAnsi="宋体" w:eastAsia="宋体" w:cs="宋体"/>
          <w:sz w:val="24"/>
          <w:szCs w:val="24"/>
        </w:rPr>
      </w:r>
      <w:r/>
    </w:p>
    <w:p>
      <w:pPr>
        <w:pStyle w:val="797"/>
        <w:ind w:firstLine="241"/>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（四）责任免除</w:t>
      </w:r>
      <w:r>
        <w:rPr>
          <w:rFonts w:hint="eastAsia" w:ascii="宋体" w:hAnsi="宋体" w:eastAsia="宋体" w:cs="宋体"/>
          <w:b/>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1）住院补贴团体医疗保险</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因下列情形之一，导致保险事故的，乙方不承担给付保险金的责任：</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(1)被保险人故意犯罪或者抗拒依法采取的刑事强制措施；</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(2)被保险人斗殴，吸食或注射毒品； </w:t>
      </w:r>
      <w:r>
        <w:rPr>
          <w:rFonts w:hint="eastAsia" w:ascii="宋体" w:hAnsi="宋体" w:eastAsia="宋体" w:cs="宋体"/>
          <w:sz w:val="24"/>
          <w:szCs w:val="24"/>
        </w:rPr>
        <w:br w:type="textWrapping" w:clear="all"/>
      </w:r>
      <w:r>
        <w:rPr>
          <w:rFonts w:hint="eastAsia" w:ascii="宋体" w:hAnsi="宋体" w:eastAsia="宋体" w:cs="宋体"/>
          <w:b/>
          <w:sz w:val="24"/>
          <w:szCs w:val="24"/>
          <w:shd w:val="pct10" w:color="auto" w:fill="ffffff"/>
        </w:rPr>
        <w:t xml:space="preserve">(</w:t>
      </w:r>
      <w:r>
        <w:rPr>
          <w:rFonts w:hint="eastAsia" w:ascii="宋体" w:hAnsi="宋体" w:eastAsia="宋体" w:cs="宋体"/>
          <w:sz w:val="24"/>
          <w:szCs w:val="24"/>
        </w:rPr>
        <w:t xml:space="preserve">3)被保险人矫形、整容、美容、器官移植，或修复、安装及购买残疾用具（如轮椅、假肢、助听器、假眼、配镜、假牙等）、一般健康体检、疗养、康复治疗、物理治疗、心理咨询或治疗；</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(4)被保险人不孕不育治疗、人工受精、妊娠（含宫外孕）、流产、分娩（含剖宫产）、节育（含绝育）、产前产后检查以及由以上原因引起之并发症；</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(5)被保险人未遵医嘱，私自使用药物，但按使用说明的规定使用非处方药除外；</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(6)被保险人酒后驾驶、无合法有效驾驶证驾驶或驾驶无有效行驶证的机动车；</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(7)被保险人所患遗传性疾病，先天性畸形、变形或染色体异常；</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(8)被保险人感染艾滋病病毒或患艾滋病期间； </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(9)被保险人从事潜水、跳伞、攀岩、蹦极、驾驶滑翔机或滑翔伞、探险、摔跤、武术比赛、特技表演、赛马、赛车等高风险运动；</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(10)战争、军事冲突、暴乱或武装叛乱；</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(11)核爆炸、核辐射或核污染。</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2）团体重大疾病保险</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因下列情形之一，导致被保险人发生疾病、达到疾病状态或进行手术的，乙方不承担保险责任：</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(1)被保险人故意犯罪或者抗拒依法采取的刑事强制措施；</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(2)被保险人服用、吸食或注射毒品；</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(3)被保险人酒后驾驶，无合法有效驾驶证驾驶，或驾驶无有效行驶证的机动车；</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(4)被保险人所患遗传性疾病，先天性畸形、变形或染色体异常；</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(5)被保险人感染艾滋病病毒或患艾滋病期间；</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(6)战争、军事冲突、暴乱或武装叛乱；</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(7)核爆炸、核辐射或核污染。</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3）被保险人在参加本保险计划前曾患有的以下疾病导致的保险事故为本保险计划的责任免除：恶性肿瘤、心肌梗塞、白血病、肝硬化、脑血管疾病、慢性肾功能衰竭尿毒症期、再生障碍性贫血、先天性疾病、遗传性疾病、精神病或者精神分裂、癫痫病、《中华人民共和国传染病防治法》规定的传染病、艾滋病、性病。</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（五）对于本合同中未列明的保险责任，保险人不予以承担。</w:t>
      </w:r>
      <w:r>
        <w:rPr>
          <w:rFonts w:hint="eastAsia" w:ascii="宋体" w:hAnsi="宋体" w:eastAsia="宋体" w:cs="宋体"/>
          <w:sz w:val="24"/>
          <w:szCs w:val="24"/>
        </w:rPr>
      </w:r>
      <w:r/>
    </w:p>
    <w:p>
      <w:pPr>
        <w:pStyle w:val="797"/>
        <w:ind w:firstLine="361"/>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四、理赔方式</w:t>
      </w:r>
      <w:r>
        <w:rPr>
          <w:rFonts w:hint="eastAsia" w:ascii="宋体" w:hAnsi="宋体" w:eastAsia="宋体" w:cs="宋体"/>
          <w:b/>
          <w:sz w:val="24"/>
          <w:szCs w:val="24"/>
        </w:rPr>
      </w:r>
      <w:r/>
    </w:p>
    <w:p>
      <w:pPr>
        <w:pStyle w:val="797"/>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（一）申请各项保险金应备材料如下：</w:t>
      </w:r>
      <w:r>
        <w:rPr>
          <w:rFonts w:hint="eastAsia" w:ascii="宋体" w:hAnsi="宋体" w:eastAsia="宋体" w:cs="宋体"/>
          <w:sz w:val="24"/>
          <w:szCs w:val="24"/>
        </w:rPr>
      </w:r>
      <w:r/>
    </w:p>
    <w:tbl>
      <w:tblPr>
        <w:tblW w:w="9075" w:type="dxa"/>
        <w:tblInd w:w="-142" w:type="dxa"/>
        <w:tblLayout w:type="fixed"/>
        <w:tblCellMar>
          <w:left w:w="108" w:type="dxa"/>
          <w:top w:w="14" w:type="dxa"/>
          <w:right w:w="108" w:type="dxa"/>
          <w:bottom w:w="0" w:type="dxa"/>
        </w:tblCellMar>
        <w:tblLook w:val="04A0" w:firstRow="1" w:lastRow="0" w:firstColumn="1" w:lastColumn="0" w:noHBand="0" w:noVBand="1"/>
      </w:tblPr>
      <w:tblGrid>
        <w:gridCol w:w="1985"/>
        <w:gridCol w:w="2411"/>
        <w:gridCol w:w="4679"/>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14" w:type="dxa"/>
              <w:right w:w="108" w:type="dxa"/>
              <w:bottom w:w="0" w:type="dxa"/>
            </w:tcMar>
            <w:tcW w:w="1985" w:type="dxa"/>
            <w:vAlign w:val="center"/>
            <w:textDirection w:val="lrTb"/>
            <w:noWrap w:val="false"/>
          </w:tcPr>
          <w:p>
            <w:pPr>
              <w:pStyle w:val="797"/>
              <w:spacing w:line="400" w:lineRule="exact"/>
              <w:tabs>
                <w:tab w:val="left" w:pos="6874" w:leader="none"/>
              </w:tabs>
              <w:rPr>
                <w:rFonts w:hint="eastAsia" w:ascii="宋体" w:hAnsi="宋体" w:eastAsia="宋体" w:cs="宋体"/>
                <w:sz w:val="24"/>
                <w:szCs w:val="24"/>
              </w:rPr>
            </w:pPr>
            <w:r>
              <w:rPr>
                <w:rFonts w:hint="eastAsia" w:ascii="宋体" w:hAnsi="宋体" w:eastAsia="宋体" w:cs="宋体"/>
                <w:b/>
                <w:bCs/>
                <w:sz w:val="24"/>
                <w:szCs w:val="24"/>
              </w:rPr>
              <w:t xml:space="preserve">申请项目</w:t>
            </w: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14" w:type="dxa"/>
              <w:right w:w="108" w:type="dxa"/>
              <w:bottom w:w="0" w:type="dxa"/>
            </w:tcMar>
            <w:tcW w:w="2410" w:type="dxa"/>
            <w:vAlign w:val="center"/>
            <w:textDirection w:val="lrTb"/>
            <w:noWrap w:val="false"/>
          </w:tcPr>
          <w:p>
            <w:pPr>
              <w:pStyle w:val="797"/>
              <w:spacing w:line="400" w:lineRule="exact"/>
              <w:tabs>
                <w:tab w:val="left" w:pos="6874" w:leader="none"/>
              </w:tabs>
              <w:rPr>
                <w:rFonts w:hint="eastAsia" w:ascii="宋体" w:hAnsi="宋体" w:eastAsia="宋体" w:cs="宋体"/>
                <w:sz w:val="24"/>
                <w:szCs w:val="24"/>
              </w:rPr>
            </w:pPr>
            <w:r>
              <w:rPr>
                <w:rFonts w:hint="eastAsia" w:ascii="宋体" w:hAnsi="宋体" w:eastAsia="宋体" w:cs="宋体"/>
                <w:b/>
                <w:bCs/>
                <w:sz w:val="24"/>
                <w:szCs w:val="24"/>
              </w:rPr>
              <w:t xml:space="preserve">应备的文件与单证</w:t>
            </w: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14" w:type="dxa"/>
              <w:right w:w="108" w:type="dxa"/>
              <w:bottom w:w="0" w:type="dxa"/>
            </w:tcMar>
            <w:tcW w:w="4678" w:type="dxa"/>
            <w:vAlign w:val="center"/>
            <w:textDirection w:val="lrTb"/>
            <w:noWrap w:val="false"/>
          </w:tcPr>
          <w:p>
            <w:pPr>
              <w:pStyle w:val="797"/>
              <w:spacing w:line="400" w:lineRule="exact"/>
              <w:tabs>
                <w:tab w:val="left" w:pos="6874" w:leader="none"/>
              </w:tabs>
              <w:rPr>
                <w:rFonts w:hint="eastAsia" w:ascii="宋体" w:hAnsi="宋体" w:eastAsia="宋体" w:cs="宋体"/>
                <w:sz w:val="24"/>
                <w:szCs w:val="24"/>
              </w:rPr>
            </w:pPr>
            <w:r>
              <w:rPr>
                <w:rFonts w:hint="eastAsia" w:ascii="宋体" w:hAnsi="宋体" w:eastAsia="宋体" w:cs="宋体"/>
                <w:b/>
                <w:bCs/>
                <w:sz w:val="24"/>
                <w:szCs w:val="24"/>
              </w:rPr>
              <w:t xml:space="preserve">文件或单证</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354"/>
        </w:trPr>
        <w:tc>
          <w:tcPr>
            <w:tcBorders>
              <w:top w:val="single" w:color="000000" w:sz="8" w:space="0"/>
              <w:left w:val="single" w:color="000000" w:sz="8" w:space="0"/>
              <w:bottom w:val="single" w:color="000000" w:sz="8" w:space="0"/>
              <w:right w:val="single" w:color="000000" w:sz="8" w:space="0"/>
            </w:tcBorders>
            <w:tcMar>
              <w:left w:w="108" w:type="dxa"/>
              <w:top w:w="14" w:type="dxa"/>
              <w:right w:w="108" w:type="dxa"/>
              <w:bottom w:w="0" w:type="dxa"/>
            </w:tcMar>
            <w:tcW w:w="1985" w:type="dxa"/>
            <w:vAlign w:val="center"/>
            <w:textDirection w:val="lrTb"/>
            <w:noWrap w:val="false"/>
          </w:tcPr>
          <w:p>
            <w:pPr>
              <w:pStyle w:val="797"/>
              <w:spacing w:line="400" w:lineRule="exact"/>
              <w:tabs>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住院补贴</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14" w:type="dxa"/>
              <w:right w:w="108" w:type="dxa"/>
              <w:bottom w:w="0" w:type="dxa"/>
            </w:tcMar>
            <w:tcW w:w="2410" w:type="dxa"/>
            <w:vAlign w:val="center"/>
            <w:textDirection w:val="lrTb"/>
            <w:noWrap w:val="false"/>
          </w:tcPr>
          <w:p>
            <w:pPr>
              <w:pStyle w:val="797"/>
              <w:spacing w:line="400" w:lineRule="exact"/>
              <w:tabs>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1、2、3、5、6</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14" w:type="dxa"/>
              <w:right w:w="108" w:type="dxa"/>
              <w:bottom w:w="0" w:type="dxa"/>
            </w:tcMar>
            <w:tcW w:w="4678" w:type="dxa"/>
            <w:vAlign w:val="center"/>
            <w:vMerge w:val="restart"/>
            <w:textDirection w:val="lrTb"/>
            <w:noWrap w:val="false"/>
          </w:tcPr>
          <w:p>
            <w:pPr>
              <w:pStyle w:val="797"/>
              <w:numPr>
                <w:ilvl w:val="0"/>
                <w:numId w:val="5"/>
              </w:numPr>
              <w:ind w:left="459" w:hanging="425"/>
              <w:jc w:val="left"/>
              <w:spacing w:line="400" w:lineRule="exact"/>
              <w:widowControl/>
              <w:tabs>
                <w:tab w:val="left" w:pos="459" w:leader="none"/>
                <w:tab w:val="left" w:pos="720" w:leader="none"/>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保险合同（复印件）</w:t>
            </w:r>
            <w:r>
              <w:rPr>
                <w:rFonts w:hint="eastAsia" w:ascii="宋体" w:hAnsi="宋体" w:eastAsia="宋体" w:cs="宋体"/>
                <w:sz w:val="24"/>
                <w:szCs w:val="24"/>
              </w:rPr>
            </w:r>
            <w:r/>
          </w:p>
          <w:p>
            <w:pPr>
              <w:pStyle w:val="797"/>
              <w:numPr>
                <w:ilvl w:val="0"/>
                <w:numId w:val="5"/>
              </w:numPr>
              <w:ind w:left="459" w:hanging="425"/>
              <w:jc w:val="left"/>
              <w:spacing w:line="400" w:lineRule="exact"/>
              <w:widowControl/>
              <w:tabs>
                <w:tab w:val="left" w:pos="459" w:leader="none"/>
                <w:tab w:val="left" w:pos="720" w:leader="none"/>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理赔申请书</w:t>
            </w:r>
            <w:r>
              <w:rPr>
                <w:rFonts w:hint="eastAsia" w:ascii="宋体" w:hAnsi="宋体" w:eastAsia="宋体" w:cs="宋体"/>
                <w:sz w:val="24"/>
                <w:szCs w:val="24"/>
              </w:rPr>
            </w:r>
            <w:r/>
          </w:p>
          <w:p>
            <w:pPr>
              <w:pStyle w:val="797"/>
              <w:numPr>
                <w:ilvl w:val="0"/>
                <w:numId w:val="5"/>
              </w:numPr>
              <w:ind w:left="459" w:hanging="425"/>
              <w:jc w:val="left"/>
              <w:spacing w:line="400" w:lineRule="exact"/>
              <w:widowControl/>
              <w:tabs>
                <w:tab w:val="left" w:pos="459" w:leader="none"/>
                <w:tab w:val="left" w:pos="720" w:leader="none"/>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出院小结或医疗费用收据复印件</w:t>
            </w:r>
            <w:r>
              <w:rPr>
                <w:rFonts w:hint="eastAsia" w:ascii="宋体" w:hAnsi="宋体" w:eastAsia="宋体" w:cs="宋体"/>
                <w:sz w:val="24"/>
                <w:szCs w:val="24"/>
              </w:rPr>
            </w:r>
            <w:r/>
          </w:p>
          <w:p>
            <w:pPr>
              <w:pStyle w:val="797"/>
              <w:numPr>
                <w:ilvl w:val="0"/>
                <w:numId w:val="5"/>
              </w:numPr>
              <w:ind w:left="459" w:hanging="425"/>
              <w:jc w:val="left"/>
              <w:spacing w:line="400" w:lineRule="exact"/>
              <w:widowControl/>
              <w:tabs>
                <w:tab w:val="left" w:pos="459" w:leader="none"/>
                <w:tab w:val="left" w:pos="720" w:leader="none"/>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卫生行政部门认定的一级以上医院出具的（附有病理显微镜检查、血液检验及其它科学方法检验报告的）疾病诊断证明书</w:t>
            </w:r>
            <w:r>
              <w:rPr>
                <w:rFonts w:hint="eastAsia" w:ascii="宋体" w:hAnsi="宋体" w:eastAsia="宋体" w:cs="宋体"/>
                <w:sz w:val="24"/>
                <w:szCs w:val="24"/>
              </w:rPr>
            </w:r>
            <w:r/>
          </w:p>
          <w:p>
            <w:pPr>
              <w:pStyle w:val="797"/>
              <w:numPr>
                <w:ilvl w:val="0"/>
                <w:numId w:val="5"/>
              </w:numPr>
              <w:ind w:left="459" w:hanging="425"/>
              <w:jc w:val="left"/>
              <w:spacing w:line="400" w:lineRule="exact"/>
              <w:widowControl/>
              <w:tabs>
                <w:tab w:val="left" w:pos="459" w:leader="none"/>
                <w:tab w:val="left" w:pos="720" w:leader="none"/>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被保险人有效身份证件</w:t>
            </w:r>
            <w:r>
              <w:rPr>
                <w:rFonts w:hint="eastAsia" w:ascii="宋体" w:hAnsi="宋体" w:eastAsia="宋体" w:cs="宋体"/>
                <w:sz w:val="24"/>
                <w:szCs w:val="24"/>
              </w:rPr>
            </w:r>
            <w:r/>
          </w:p>
          <w:p>
            <w:pPr>
              <w:pStyle w:val="797"/>
              <w:numPr>
                <w:ilvl w:val="0"/>
                <w:numId w:val="5"/>
              </w:numPr>
              <w:ind w:left="459" w:hanging="425"/>
              <w:jc w:val="left"/>
              <w:spacing w:line="400" w:lineRule="exact"/>
              <w:widowControl/>
              <w:tabs>
                <w:tab w:val="left" w:pos="459" w:leader="none"/>
                <w:tab w:val="left" w:pos="720" w:leader="none"/>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受益人账户复印件（选择转账）</w:t>
            </w:r>
            <w:r>
              <w:rPr>
                <w:rFonts w:hint="eastAsia" w:ascii="宋体" w:hAnsi="宋体" w:eastAsia="宋体" w:cs="宋体"/>
                <w:sz w:val="24"/>
                <w:szCs w:val="24"/>
              </w:rPr>
            </w:r>
            <w:r/>
          </w:p>
          <w:p>
            <w:pPr>
              <w:pStyle w:val="797"/>
              <w:ind w:left="459"/>
              <w:jc w:val="left"/>
              <w:spacing w:line="400" w:lineRule="exact"/>
              <w:widowControl/>
              <w:tabs>
                <w:tab w:val="left" w:pos="459" w:leader="none"/>
                <w:tab w:val="left" w:pos="6874"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806"/>
        </w:trPr>
        <w:tc>
          <w:tcPr>
            <w:tcBorders>
              <w:top w:val="single" w:color="000000" w:sz="8" w:space="0"/>
              <w:left w:val="single" w:color="000000" w:sz="8" w:space="0"/>
              <w:bottom w:val="single" w:color="000000" w:sz="8" w:space="0"/>
              <w:right w:val="single" w:color="000000" w:sz="8" w:space="0"/>
            </w:tcBorders>
            <w:tcMar>
              <w:left w:w="108" w:type="dxa"/>
              <w:top w:w="14" w:type="dxa"/>
              <w:right w:w="108" w:type="dxa"/>
              <w:bottom w:w="0" w:type="dxa"/>
            </w:tcMar>
            <w:tcW w:w="1985" w:type="dxa"/>
            <w:vAlign w:val="center"/>
            <w:textDirection w:val="lrTb"/>
            <w:noWrap w:val="false"/>
          </w:tcPr>
          <w:p>
            <w:pPr>
              <w:pStyle w:val="797"/>
              <w:spacing w:line="400" w:lineRule="exact"/>
              <w:tabs>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重大疾病</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14" w:type="dxa"/>
              <w:right w:w="108" w:type="dxa"/>
              <w:bottom w:w="0" w:type="dxa"/>
            </w:tcMar>
            <w:tcW w:w="2410" w:type="dxa"/>
            <w:vAlign w:val="center"/>
            <w:textDirection w:val="lrTb"/>
            <w:noWrap w:val="false"/>
          </w:tcPr>
          <w:p>
            <w:pPr>
              <w:pStyle w:val="797"/>
              <w:spacing w:line="400" w:lineRule="exact"/>
              <w:tabs>
                <w:tab w:val="left" w:pos="6874" w:leader="none"/>
              </w:tabs>
              <w:rPr>
                <w:rFonts w:hint="eastAsia" w:ascii="宋体" w:hAnsi="宋体" w:eastAsia="宋体" w:cs="宋体"/>
                <w:sz w:val="24"/>
                <w:szCs w:val="24"/>
              </w:rPr>
            </w:pPr>
            <w:r>
              <w:rPr>
                <w:rFonts w:hint="eastAsia" w:ascii="宋体" w:hAnsi="宋体" w:eastAsia="宋体" w:cs="宋体"/>
                <w:sz w:val="24"/>
                <w:szCs w:val="24"/>
              </w:rPr>
              <w:t xml:space="preserve">1、2、4、5、6</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4678" w:type="dxa"/>
            <w:vAlign w:val="center"/>
            <w:vMerge w:val="continue"/>
            <w:textDirection w:val="lrTb"/>
            <w:noWrap w:val="false"/>
          </w:tcPr>
          <w:p>
            <w:pPr>
              <w:pStyle w:val="797"/>
              <w:jc w:val="left"/>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797"/>
        <w:ind w:firstLine="47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以上材料为进行理赔申请的基本材料，由于保险事故的具体情况不同及各地区差异，可能在办理理赔申请时仍需一些其他材料，届时理赔人员应及时与投保人或受益人取得联系。同时考虑到被保险人特殊的家庭状况，保险人应提供上门理赔服务。</w:t>
      </w:r>
      <w:r>
        <w:rPr>
          <w:rFonts w:hint="eastAsia" w:ascii="宋体" w:hAnsi="宋体" w:eastAsia="宋体" w:cs="宋体"/>
          <w:sz w:val="24"/>
          <w:szCs w:val="24"/>
        </w:rPr>
      </w:r>
      <w:r/>
    </w:p>
    <w:p>
      <w:pPr>
        <w:pStyle w:val="797"/>
        <w:ind w:firstLine="47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（三）如委托他人代办，需提供受益人亲笔签名的授权委托书并注明授权范围，同时提供受益人、受托人身份证明原件。</w:t>
      </w:r>
      <w:r>
        <w:rPr>
          <w:rFonts w:hint="eastAsia" w:ascii="宋体" w:hAnsi="宋体" w:eastAsia="宋体" w:cs="宋体"/>
          <w:sz w:val="24"/>
          <w:szCs w:val="24"/>
        </w:rPr>
      </w:r>
      <w:r/>
    </w:p>
    <w:p>
      <w:pPr>
        <w:pStyle w:val="797"/>
        <w:ind w:firstLine="47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保险人在收到准确齐全的保险金给付申请书及上述有关证明和资料后，将在7个工作日内作出核定；情形复杂的，在30日内作出核定。对属于保险责任的，保险人在与受益人达成给付保险金的协议后10日内，履行给付保险金义务。</w:t>
      </w:r>
      <w:r>
        <w:rPr>
          <w:rFonts w:hint="eastAsia" w:ascii="宋体" w:hAnsi="宋体" w:eastAsia="宋体" w:cs="宋体"/>
          <w:sz w:val="24"/>
          <w:szCs w:val="24"/>
        </w:rPr>
      </w:r>
      <w:r/>
    </w:p>
    <w:p>
      <w:pPr>
        <w:pStyle w:val="797"/>
        <w:ind w:firstLine="47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对不属于保险责任的，保险人自作出核定之日起3日内向受益人发出拒绝给付保险金通知书并书面说明理由，如受益人存在异议，保险人应进一步说明。</w:t>
      </w: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（五）保险人在理赔结案后3个工作日内，直接委托银行将赔款划入受益人本人的银行账户。</w:t>
      </w: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五、合同内容的变更</w:t>
      </w:r>
      <w:r>
        <w:rPr>
          <w:rFonts w:hint="eastAsia" w:ascii="宋体" w:hAnsi="宋体" w:eastAsia="宋体" w:cs="宋体"/>
          <w:b/>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本合同有效期内，双方应严格按本合同内容执行，不得擅自变更。如因国家法律、法规、法令、政策或省、市、区调整完善政策及不可抗拒的原因需变更，应提前30日书面通知对方，经双方协商一致，可以变更合同的有关内容，投保人、保险人双方订立变更的书面合同。</w:t>
      </w:r>
      <w:r>
        <w:rPr>
          <w:rFonts w:hint="eastAsia" w:ascii="宋体" w:hAnsi="宋体" w:eastAsia="宋体" w:cs="宋体"/>
          <w:sz w:val="24"/>
          <w:szCs w:val="24"/>
        </w:rPr>
      </w:r>
      <w:r/>
    </w:p>
    <w:p>
      <w:pPr>
        <w:pStyle w:val="797"/>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797"/>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六、争议解决</w:t>
      </w:r>
      <w:r>
        <w:rPr>
          <w:rFonts w:hint="eastAsia" w:ascii="宋体" w:hAnsi="宋体" w:eastAsia="宋体" w:cs="宋体"/>
          <w:b/>
          <w:sz w:val="24"/>
          <w:szCs w:val="24"/>
        </w:rPr>
      </w:r>
      <w:r/>
    </w:p>
    <w:p>
      <w:pPr>
        <w:pStyle w:val="797"/>
        <w:ind w:firstLine="600"/>
        <w:spacing w:line="400" w:lineRule="exact"/>
        <w:rPr>
          <w:rFonts w:hint="eastAsia" w:ascii="宋体" w:hAnsi="宋体" w:eastAsia="宋体" w:cs="宋体"/>
          <w:sz w:val="24"/>
          <w:szCs w:val="24"/>
        </w:rPr>
      </w:pPr>
      <w:r>
        <w:rPr>
          <w:rFonts w:hint="eastAsia" w:ascii="宋体" w:hAnsi="宋体" w:eastAsia="宋体" w:cs="宋体"/>
          <w:sz w:val="24"/>
          <w:szCs w:val="24"/>
        </w:rPr>
        <w:t xml:space="preserve">凡因执行本合同及保险赔付过程中产生的一切争议，双方均应友好协商解决。若协商不成，任何一方均可向乙方所在地人民法院提起诉讼。</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七、违约责任</w:t>
      </w:r>
      <w:r>
        <w:rPr>
          <w:rFonts w:hint="eastAsia" w:ascii="宋体" w:hAnsi="宋体" w:eastAsia="宋体" w:cs="宋体"/>
          <w:b/>
          <w:sz w:val="24"/>
          <w:szCs w:val="24"/>
        </w:rPr>
      </w:r>
      <w:r/>
    </w:p>
    <w:p>
      <w:pPr>
        <w:pStyle w:val="797"/>
        <w:ind w:firstLine="60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在本合同履行期间，乙方以银行转账、支票、汇票、本票或者金融机构、担保机构出具的保函、电子保函、保险机构出具的保证保险等非现金形式提交</w:t>
      </w:r>
      <w:r>
        <w:rPr>
          <w:rFonts w:hint="eastAsia" w:ascii="宋体" w:hAnsi="宋体" w:eastAsia="宋体" w:cs="宋体"/>
          <w:sz w:val="24"/>
          <w:szCs w:val="24"/>
          <w:lang w:val="en-US" w:eastAsia="zh-CN"/>
        </w:rPr>
        <w:t xml:space="preserve">履约保证金壹万元</w:t>
      </w:r>
      <w:r>
        <w:rPr>
          <w:rFonts w:hint="eastAsia" w:ascii="宋体" w:hAnsi="宋体" w:eastAsia="宋体" w:cs="宋体"/>
          <w:sz w:val="24"/>
          <w:szCs w:val="24"/>
        </w:rPr>
        <w:t xml:space="preserve">。甲方组织有关人员定期或不定期对乙方的承保服务、保险价格和理赔服务进行监督和检查。对于下列的违约情况，将从履约保证金账户扣除相应金额，第一次有效投诉通报批评，第二次有效投诉扣除1000元，第三次有效投诉扣除3000元，第四次有效投诉扣除3500元。因一方未按照合同约定履行合同规定的义务，从而给另一方造成经济损失或社会负面影响，经过协商无效的，另一方有权终止合同履行，同时违约方应承担相应的违约责任赔偿。</w:t>
      </w:r>
      <w:r>
        <w:rPr>
          <w:rFonts w:hint="eastAsia" w:ascii="宋体" w:hAnsi="宋体" w:eastAsia="宋体" w:cs="宋体"/>
          <w:sz w:val="24"/>
          <w:szCs w:val="24"/>
        </w:rPr>
      </w:r>
      <w:r/>
    </w:p>
    <w:p>
      <w:pPr>
        <w:pStyle w:val="797"/>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八、违规责任</w:t>
      </w:r>
      <w:r>
        <w:rPr>
          <w:rFonts w:hint="eastAsia" w:ascii="宋体" w:hAnsi="宋体" w:eastAsia="宋体" w:cs="宋体"/>
          <w:b/>
          <w:sz w:val="24"/>
          <w:szCs w:val="24"/>
        </w:rPr>
      </w:r>
      <w:r/>
    </w:p>
    <w:p>
      <w:pPr>
        <w:pStyle w:val="797"/>
        <w:ind w:firstLine="60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（一）本合同有效期为一年，与保险期间一致。</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（二）本合同一式叁份，具有同等法律效力。由甲、乙、见证方各执壹份。经叁方共同签字盖章后生效。</w:t>
      </w:r>
      <w:r>
        <w:rPr>
          <w:rFonts w:hint="eastAsia" w:ascii="宋体" w:hAnsi="宋体" w:eastAsia="宋体" w:cs="宋体"/>
          <w:sz w:val="24"/>
          <w:szCs w:val="24"/>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（以下无正文）</w:t>
      </w:r>
      <w:r>
        <w:rPr>
          <w:rFonts w:hint="eastAsia" w:ascii="宋体" w:hAnsi="宋体" w:eastAsia="宋体" w:cs="宋体"/>
          <w:b/>
          <w:sz w:val="24"/>
          <w:szCs w:val="24"/>
        </w:rPr>
      </w:r>
      <w:r/>
    </w:p>
    <w:p>
      <w:pPr>
        <w:pStyle w:val="797"/>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p>
      <w:pPr>
        <w:pStyle w:val="797"/>
        <w:spacing w:before="143" w:after="143" w:line="360" w:lineRule="exact"/>
        <w:rPr>
          <w:rFonts w:hint="eastAsia" w:ascii="宋体" w:hAnsi="宋体" w:eastAsia="宋体" w:cs="宋体"/>
          <w:b/>
          <w:sz w:val="24"/>
          <w:szCs w:val="24"/>
        </w:rPr>
      </w:pPr>
      <w:r>
        <w:rPr>
          <w:rFonts w:hint="eastAsia" w:ascii="宋体" w:hAnsi="宋体" w:eastAsia="宋体" w:cs="宋体"/>
          <w:b/>
          <w:sz w:val="24"/>
          <w:szCs w:val="24"/>
        </w:rPr>
        <w:t xml:space="preserve">甲  方：                                 乙  方： </w:t>
      </w:r>
      <w:r>
        <w:rPr>
          <w:rFonts w:hint="eastAsia" w:ascii="宋体" w:hAnsi="宋体" w:eastAsia="宋体" w:cs="宋体"/>
          <w:b/>
          <w:sz w:val="24"/>
          <w:szCs w:val="24"/>
        </w:rPr>
      </w:r>
      <w:r/>
    </w:p>
    <w:p>
      <w:pPr>
        <w:pStyle w:val="797"/>
        <w:spacing w:before="143" w:after="143" w:line="360" w:lineRule="exact"/>
        <w:rPr>
          <w:rFonts w:hint="eastAsia" w:ascii="宋体" w:hAnsi="宋体" w:eastAsia="宋体" w:cs="宋体"/>
          <w:b/>
          <w:sz w:val="24"/>
          <w:szCs w:val="24"/>
        </w:rPr>
      </w:pPr>
      <w:r>
        <w:rPr>
          <w:rFonts w:hint="eastAsia" w:ascii="宋体" w:hAnsi="宋体" w:eastAsia="宋体" w:cs="宋体"/>
          <w:b/>
          <w:sz w:val="24"/>
          <w:szCs w:val="24"/>
        </w:rPr>
        <w:t xml:space="preserve">公章：                                   公章：</w:t>
      </w:r>
      <w:r>
        <w:rPr>
          <w:rFonts w:hint="eastAsia" w:ascii="宋体" w:hAnsi="宋体" w:eastAsia="宋体" w:cs="宋体"/>
          <w:b/>
          <w:sz w:val="24"/>
          <w:szCs w:val="24"/>
        </w:rPr>
      </w:r>
      <w:r/>
    </w:p>
    <w:p>
      <w:pPr>
        <w:pStyle w:val="797"/>
        <w:spacing w:before="143" w:after="143" w:line="360" w:lineRule="exact"/>
        <w:rPr>
          <w:rFonts w:hint="eastAsia" w:ascii="宋体" w:hAnsi="宋体" w:eastAsia="宋体" w:cs="宋体"/>
          <w:sz w:val="24"/>
          <w:szCs w:val="24"/>
        </w:rPr>
      </w:pPr>
      <w:r>
        <w:rPr>
          <w:rFonts w:hint="eastAsia" w:ascii="宋体" w:hAnsi="宋体" w:eastAsia="宋体" w:cs="宋体"/>
          <w:b/>
          <w:sz w:val="24"/>
          <w:szCs w:val="24"/>
        </w:rPr>
        <w:t xml:space="preserve">日期：       年    月    日              日期：      年    月    日</w:t>
      </w:r>
      <w:r>
        <w:rPr>
          <w:rFonts w:hint="eastAsia" w:ascii="宋体" w:hAnsi="宋体" w:eastAsia="宋体" w:cs="宋体"/>
          <w:sz w:val="24"/>
          <w:szCs w:val="24"/>
        </w:rPr>
      </w:r>
      <w:r/>
    </w:p>
    <w:p>
      <w:pPr>
        <w:pStyle w:val="797"/>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11"/>
        <w:rPr>
          <w:rFonts w:hint="eastAsia" w:ascii="宋体" w:hAnsi="宋体" w:eastAsia="宋体" w:cs="宋体"/>
          <w:b/>
          <w:sz w:val="24"/>
          <w:szCs w:val="24"/>
        </w:rPr>
      </w:pPr>
      <w:r>
        <w:rPr>
          <w:rFonts w:hint="eastAsia" w:ascii="宋体" w:hAnsi="宋体" w:eastAsia="宋体" w:cs="宋体"/>
          <w:b/>
          <w:sz w:val="24"/>
          <w:szCs w:val="24"/>
        </w:rPr>
      </w:r>
      <w:r/>
    </w:p>
    <w:p>
      <w:pPr>
        <w:pStyle w:val="797"/>
        <w:spacing w:before="19"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签订日期： 年 月 日</w:t>
      </w:r>
      <w:r>
        <w:rPr>
          <w:rFonts w:hint="eastAsia" w:ascii="宋体" w:hAnsi="宋体" w:eastAsia="宋体" w:cs="宋体"/>
          <w:b/>
          <w:sz w:val="24"/>
          <w:szCs w:val="24"/>
        </w:rPr>
      </w:r>
      <w:r/>
    </w:p>
    <w:p>
      <w:pPr>
        <w:pStyle w:val="797"/>
        <w:rPr>
          <w:rFonts w:hint="eastAsia"/>
        </w:rPr>
      </w:pPr>
      <w:r>
        <w:rPr>
          <w:rFonts w:hint="eastAsia"/>
        </w:rPr>
      </w:r>
      <w:r/>
    </w:p>
    <w:p>
      <w:pPr>
        <w:pStyle w:val="811"/>
        <w:rPr>
          <w:rFonts w:hint="eastAsia" w:ascii="宋体" w:hAnsi="宋体" w:cs="宋体"/>
          <w:szCs w:val="21"/>
          <w:u w:val="single"/>
        </w:rPr>
      </w:pPr>
      <w:r>
        <w:rPr>
          <w:rFonts w:hint="eastAsia" w:ascii="宋体" w:hAnsi="宋体" w:cs="宋体"/>
          <w:szCs w:val="21"/>
          <w:u w:val="single"/>
        </w:rPr>
      </w:r>
      <w:r/>
    </w:p>
    <w:p>
      <w:pPr>
        <w:pStyle w:val="797"/>
        <w:rPr>
          <w:rFonts w:hint="eastAsia" w:ascii="宋体" w:hAnsi="宋体" w:cs="宋体"/>
          <w:szCs w:val="21"/>
          <w:u w:val="single"/>
        </w:rPr>
      </w:pPr>
      <w:r>
        <w:rPr>
          <w:rFonts w:hint="eastAsia" w:ascii="宋体" w:hAnsi="宋体" w:cs="宋体"/>
          <w:szCs w:val="21"/>
          <w:u w:val="single"/>
        </w:rPr>
      </w:r>
      <w:r/>
    </w:p>
    <w:p>
      <w:pPr>
        <w:pStyle w:val="820"/>
        <w:ind w:left="1260"/>
        <w:rPr>
          <w:rFonts w:hint="eastAsia" w:ascii="宋体" w:hAnsi="宋体" w:cs="宋体"/>
          <w:szCs w:val="21"/>
          <w:u w:val="single"/>
        </w:rPr>
      </w:pPr>
      <w:r>
        <w:rPr>
          <w:rFonts w:hint="eastAsia" w:ascii="宋体" w:hAnsi="宋体" w:cs="宋体"/>
          <w:szCs w:val="21"/>
          <w:u w:val="single"/>
        </w:rPr>
      </w:r>
      <w:r/>
    </w:p>
    <w:p>
      <w:pPr>
        <w:pStyle w:val="797"/>
        <w:rPr>
          <w:rFonts w:hint="eastAsia" w:ascii="宋体" w:hAnsi="宋体" w:cs="宋体"/>
          <w:szCs w:val="21"/>
          <w:u w:val="single"/>
        </w:rPr>
      </w:pPr>
      <w:r>
        <w:rPr>
          <w:rFonts w:hint="eastAsia" w:ascii="宋体" w:hAnsi="宋体" w:cs="宋体"/>
          <w:szCs w:val="21"/>
          <w:u w:val="single"/>
        </w:rPr>
      </w:r>
      <w:r/>
    </w:p>
    <w:p>
      <w:pPr>
        <w:pStyle w:val="820"/>
        <w:ind w:left="1260"/>
        <w:rPr>
          <w:rFonts w:hint="eastAsia" w:ascii="宋体" w:hAnsi="宋体" w:cs="宋体"/>
          <w:szCs w:val="21"/>
          <w:u w:val="single"/>
        </w:rPr>
      </w:pPr>
      <w:r>
        <w:rPr>
          <w:rFonts w:hint="eastAsia" w:ascii="宋体" w:hAnsi="宋体" w:cs="宋体"/>
          <w:szCs w:val="21"/>
          <w:u w:val="single"/>
        </w:rPr>
      </w:r>
      <w:r/>
    </w:p>
    <w:p>
      <w:pPr>
        <w:pStyle w:val="797"/>
        <w:rPr>
          <w:rFonts w:hint="eastAsia" w:ascii="宋体" w:hAnsi="宋体" w:cs="宋体"/>
          <w:szCs w:val="21"/>
          <w:u w:val="single"/>
        </w:rPr>
      </w:pPr>
      <w:r>
        <w:rPr>
          <w:rFonts w:hint="eastAsia" w:ascii="宋体" w:hAnsi="宋体" w:cs="宋体"/>
          <w:szCs w:val="21"/>
          <w:u w:val="single"/>
        </w:rPr>
      </w:r>
      <w:r/>
    </w:p>
    <w:p>
      <w:pPr>
        <w:pStyle w:val="820"/>
        <w:ind w:left="1260"/>
        <w:rPr>
          <w:rFonts w:hint="eastAsia" w:ascii="宋体" w:hAnsi="宋体" w:cs="宋体"/>
          <w:szCs w:val="21"/>
          <w:u w:val="single"/>
        </w:rPr>
      </w:pPr>
      <w:r>
        <w:rPr>
          <w:rFonts w:hint="eastAsia" w:ascii="宋体" w:hAnsi="宋体" w:cs="宋体"/>
          <w:szCs w:val="21"/>
          <w:u w:val="single"/>
        </w:rPr>
      </w:r>
      <w:r/>
    </w:p>
    <w:p>
      <w:pPr>
        <w:pStyle w:val="797"/>
        <w:rPr>
          <w:rFonts w:hint="eastAsia" w:ascii="宋体" w:hAnsi="宋体" w:cs="宋体"/>
          <w:szCs w:val="21"/>
          <w:u w:val="single"/>
        </w:rPr>
      </w:pPr>
      <w:r>
        <w:rPr>
          <w:rFonts w:hint="eastAsia" w:ascii="宋体" w:hAnsi="宋体" w:cs="宋体"/>
          <w:szCs w:val="21"/>
          <w:u w:val="single"/>
        </w:rPr>
      </w:r>
      <w:r/>
    </w:p>
    <w:p>
      <w:pPr>
        <w:pStyle w:val="820"/>
        <w:ind w:left="1260"/>
        <w:rPr>
          <w:rFonts w:hint="eastAsia" w:ascii="宋体" w:hAnsi="宋体" w:cs="宋体"/>
          <w:szCs w:val="21"/>
          <w:u w:val="single"/>
        </w:rPr>
      </w:pPr>
      <w:r>
        <w:rPr>
          <w:rFonts w:hint="eastAsia" w:ascii="宋体" w:hAnsi="宋体" w:cs="宋体"/>
          <w:szCs w:val="21"/>
          <w:u w:val="single"/>
        </w:rPr>
      </w:r>
      <w:r/>
    </w:p>
    <w:p>
      <w:pPr>
        <w:pStyle w:val="805"/>
        <w:ind w:left="0" w:firstLine="0"/>
        <w:rPr>
          <w:rFonts w:hint="eastAsia"/>
        </w:rPr>
      </w:pPr>
      <w:r>
        <w:rPr>
          <w:rFonts w:hint="eastAsia"/>
        </w:rPr>
      </w:r>
      <w:r/>
    </w:p>
    <w:p>
      <w:pPr>
        <w:pStyle w:val="798"/>
        <w:jc w:val="center"/>
        <w:tabs>
          <w:tab w:val="left" w:pos="420" w:leader="none"/>
        </w:tabs>
        <w:rPr>
          <w:rFonts w:ascii="宋体" w:hAnsi="宋体" w:cs="宋体"/>
          <w:sz w:val="28"/>
          <w:szCs w:val="28"/>
          <w:highlight w:val="none"/>
        </w:rPr>
      </w:pPr>
      <w:r/>
      <w:bookmarkStart w:id="120" w:name="_Toc32273"/>
      <w:r>
        <w:rPr>
          <w:rFonts w:hint="eastAsia" w:ascii="宋体" w:hAnsi="宋体" w:cs="宋体"/>
          <w:sz w:val="28"/>
          <w:szCs w:val="28"/>
          <w:highlight w:val="none"/>
        </w:rPr>
        <w:t xml:space="preserve">第四章  项目需求</w:t>
      </w:r>
      <w:bookmarkEnd w:id="120"/>
      <w:r/>
      <w:bookmarkStart w:id="121" w:name="_Toc26554097"/>
      <w:r/>
      <w:bookmarkStart w:id="122" w:name="_Toc61149622"/>
      <w:r/>
      <w:bookmarkStart w:id="123" w:name="_Toc23828480"/>
      <w:r>
        <w:rPr>
          <w:rFonts w:ascii="宋体" w:hAnsi="宋体" w:cs="宋体"/>
          <w:sz w:val="28"/>
          <w:szCs w:val="28"/>
          <w:highlight w:val="none"/>
        </w:rPr>
      </w:r>
      <w:r/>
    </w:p>
    <w:p>
      <w:pPr>
        <w:pStyle w:val="799"/>
        <w:ind w:firstLine="482"/>
        <w:spacing w:before="0" w:after="0"/>
        <w:tabs>
          <w:tab w:val="right" w:pos="9638" w:leader="none"/>
        </w:tabs>
        <w:rPr>
          <w:rFonts w:hint="eastAsia" w:ascii="宋体" w:hAnsi="宋体" w:eastAsia="宋体" w:cs="宋体"/>
          <w:sz w:val="24"/>
          <w:szCs w:val="24"/>
        </w:rPr>
      </w:pPr>
      <w:r/>
      <w:bookmarkStart w:id="124" w:name="orgcce4779"/>
      <w:r/>
      <w:bookmarkEnd w:id="124"/>
      <w:r/>
      <w:bookmarkStart w:id="125" w:name="OrgXref.orgcce4779"/>
      <w:r>
        <w:rPr>
          <w:rFonts w:hint="eastAsia" w:ascii="宋体" w:hAnsi="宋体" w:eastAsia="宋体" w:cs="宋体"/>
          <w:sz w:val="24"/>
          <w:szCs w:val="24"/>
        </w:rPr>
      </w:r>
      <w:r/>
    </w:p>
    <w:p>
      <w:pPr>
        <w:pStyle w:val="797"/>
        <w:ind w:firstLine="480"/>
        <w:spacing w:line="360" w:lineRule="auto"/>
        <w:rPr>
          <w:rFonts w:ascii="宋体" w:hAnsi="宋体" w:cs="仿宋_GB2312"/>
          <w:sz w:val="24"/>
          <w:szCs w:val="24"/>
        </w:rPr>
      </w:pPr>
      <w:r/>
      <w:bookmarkEnd w:id="125"/>
      <w:r>
        <w:rPr>
          <w:rFonts w:ascii="宋体" w:hAnsi="宋体" w:cs="仿宋_GB2312"/>
          <w:sz w:val="24"/>
          <w:szCs w:val="24"/>
        </w:rPr>
        <w:t xml:space="preserve">1</w:t>
      </w:r>
      <w:r>
        <w:rPr>
          <w:rFonts w:hint="eastAsia" w:ascii="宋体" w:hAnsi="宋体" w:cs="仿宋_GB2312"/>
          <w:sz w:val="24"/>
          <w:szCs w:val="24"/>
        </w:rPr>
        <w:t xml:space="preserve">、供应商必须具备独立完成本磋商所有项目的服务能力，成交后不得进行分包和转包。</w:t>
      </w:r>
      <w:r>
        <w:rPr>
          <w:rFonts w:ascii="宋体" w:hAnsi="宋体" w:cs="仿宋_GB2312"/>
          <w:sz w:val="24"/>
          <w:szCs w:val="24"/>
        </w:rPr>
      </w:r>
      <w:r/>
    </w:p>
    <w:p>
      <w:pPr>
        <w:pStyle w:val="797"/>
        <w:ind w:firstLine="480"/>
        <w:spacing w:line="360" w:lineRule="auto"/>
        <w:rPr>
          <w:rFonts w:hint="eastAsia"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、采购人必须认真考虑项目实施过程中可能出现的各种情况，一旦成交，采购方将以其报价为付款依据，不再额外支付任何费用。</w:t>
      </w:r>
      <w:r>
        <w:rPr>
          <w:rFonts w:hint="eastAsia" w:ascii="宋体" w:hAnsi="宋体" w:cs="仿宋_GB2312"/>
          <w:sz w:val="24"/>
          <w:szCs w:val="24"/>
        </w:rPr>
      </w:r>
      <w:r/>
    </w:p>
    <w:p>
      <w:pPr>
        <w:pStyle w:val="797"/>
        <w:ind w:firstLine="480"/>
        <w:spacing w:line="360" w:lineRule="auto"/>
        <w:rPr>
          <w:rFonts w:hint="eastAsia" w:ascii="宋体" w:hAnsi="宋体" w:cs="仿宋_GB2312"/>
          <w:sz w:val="24"/>
          <w:szCs w:val="24"/>
        </w:rPr>
      </w:pPr>
      <w:r>
        <w:rPr>
          <w:rFonts w:hint="eastAsia" w:ascii="宋体" w:hAnsi="宋体" w:cs="仿宋_GB2312"/>
          <w:sz w:val="24"/>
          <w:szCs w:val="24"/>
        </w:rPr>
        <w:t xml:space="preserve">3、采购人必须认真阅读第三章合同相关条款，一旦成交，严格按合同条款履行合同责任。</w:t>
      </w:r>
      <w:r>
        <w:rPr>
          <w:rFonts w:hint="eastAsia" w:ascii="宋体" w:hAnsi="宋体" w:cs="仿宋_GB2312"/>
          <w:sz w:val="24"/>
          <w:szCs w:val="24"/>
        </w:rPr>
      </w:r>
      <w:r/>
    </w:p>
    <w:p>
      <w:pPr>
        <w:pStyle w:val="797"/>
        <w:ind w:firstLine="480"/>
        <w:spacing w:line="360" w:lineRule="auto"/>
        <w:rPr>
          <w:rFonts w:hint="eastAsia" w:ascii="宋体" w:hAnsi="宋体" w:cs="仿宋_GB2312"/>
          <w:sz w:val="24"/>
          <w:szCs w:val="24"/>
        </w:rPr>
      </w:pPr>
      <w:r>
        <w:rPr>
          <w:rFonts w:hint="eastAsia" w:ascii="宋体" w:hAnsi="宋体" w:cs="仿宋_GB2312"/>
          <w:sz w:val="24"/>
          <w:szCs w:val="24"/>
        </w:rPr>
        <w:t xml:space="preserve">4、项目被保险人员为泰州市区户籍人口中独生子女死亡或伤残（经依法鉴定为残疾，伤、病残等级达到三级（含三级）以上）后未再生育，并经卫生健康部门审定领取计划生育家庭特别扶助金的父母。预测2026年度海陵区、高新（高港）区范围内共有计划生育特殊困难家庭对象3500人，最后按实际人数结算。采购方代表被保险人员统一向成交供应商投保。</w:t>
      </w:r>
      <w:r>
        <w:rPr>
          <w:rFonts w:hint="eastAsia" w:ascii="宋体" w:hAnsi="宋体" w:cs="仿宋_GB2312"/>
          <w:sz w:val="24"/>
          <w:szCs w:val="24"/>
        </w:rPr>
      </w:r>
      <w:r/>
    </w:p>
    <w:p>
      <w:pPr>
        <w:pStyle w:val="797"/>
        <w:ind w:firstLine="480"/>
        <w:spacing w:line="360" w:lineRule="auto"/>
        <w:rPr>
          <w:rFonts w:hint="eastAsia" w:ascii="宋体" w:hAnsi="宋体" w:cs="仿宋_GB2312"/>
          <w:sz w:val="24"/>
          <w:szCs w:val="24"/>
        </w:rPr>
      </w:pPr>
      <w:r>
        <w:rPr>
          <w:rFonts w:hint="eastAsia" w:ascii="宋体" w:hAnsi="宋体" w:cs="仿宋_GB2312"/>
          <w:sz w:val="24"/>
          <w:szCs w:val="24"/>
        </w:rPr>
        <w:t xml:space="preserve">保险期间如有被保险人增加，则采购方以书面形式或通过授权邮箱通知供应方。供应方经审核同意后的次日零时起，开始对新增的被保险人承担保险责任，并按新增加人员的实际保险期间收取保险费。新增被保险人的保险期间以批单载明的日期为准。新增被保险人保险费的具体计算公式为：应收保险费=完整保险期间保险费*（加保人员实际保险天数/完整保险期间天数）。</w:t>
      </w:r>
      <w:r>
        <w:rPr>
          <w:rFonts w:hint="eastAsia" w:ascii="宋体" w:hAnsi="宋体" w:cs="仿宋_GB2312"/>
          <w:sz w:val="24"/>
          <w:szCs w:val="24"/>
        </w:rPr>
      </w:r>
      <w:r/>
    </w:p>
    <w:p>
      <w:pPr>
        <w:pStyle w:val="797"/>
        <w:ind w:firstLine="480"/>
        <w:spacing w:line="360" w:lineRule="auto"/>
        <w:rPr>
          <w:rFonts w:hint="eastAsia" w:ascii="宋体" w:hAnsi="宋体"/>
          <w:sz w:val="24"/>
          <w:szCs w:val="24"/>
        </w:rPr>
      </w:pPr>
      <w:r>
        <w:rPr>
          <w:rFonts w:hint="eastAsia" w:ascii="宋体" w:hAnsi="宋体" w:cs="仿宋_GB2312"/>
          <w:sz w:val="24"/>
          <w:szCs w:val="24"/>
        </w:rPr>
        <w:t xml:space="preserve">（1</w:t>
      </w:r>
      <w:r>
        <w:rPr>
          <w:rFonts w:ascii="宋体" w:hAnsi="宋体" w:cs="仿宋_GB2312"/>
          <w:sz w:val="24"/>
          <w:szCs w:val="24"/>
        </w:rPr>
        <w:t xml:space="preserve">）</w:t>
      </w:r>
      <w:r>
        <w:rPr>
          <w:rFonts w:hint="eastAsia" w:ascii="宋体" w:hAnsi="宋体" w:cs="仿宋_GB2312"/>
          <w:sz w:val="24"/>
          <w:szCs w:val="24"/>
        </w:rPr>
        <w:t xml:space="preserve">住院</w:t>
      </w:r>
      <w:r>
        <w:rPr>
          <w:rFonts w:hint="eastAsia" w:ascii="宋体" w:hAnsi="宋体"/>
          <w:sz w:val="24"/>
          <w:szCs w:val="24"/>
        </w:rPr>
        <w:t xml:space="preserve">补贴保障：在保险有效期内，若被保险人因意外伤害或因意外伤害以外的原因在卫生行政部门认定的一级以上医院住院治疗，保险人按其实际住院天数乘以150元给付住院补贴保险金。至保险期间届满住院仍未结束的，保险人继续承担本条前述所列的保险责任至住院结束，但最长不超过保险期间届满之日起第80日。在任何情况下，保险人对同一被保险人一次或多次累计给付住院补贴保险金的天数以80日为限，当一次或累计给付天数达到80天时，保险人对该被保险人的保险责任及时终止。</w:t>
      </w:r>
      <w:r>
        <w:rPr>
          <w:rFonts w:hint="eastAsia" w:ascii="宋体" w:hAnsi="宋体"/>
          <w:sz w:val="24"/>
          <w:szCs w:val="24"/>
        </w:rPr>
      </w:r>
      <w:r/>
    </w:p>
    <w:p>
      <w:pPr>
        <w:pStyle w:val="797"/>
        <w:ind w:firstLine="480"/>
        <w:jc w:val="left"/>
        <w:spacing w:line="360" w:lineRule="auto"/>
        <w:rPr>
          <w:rFonts w:hint="eastAsia" w:ascii="宋体" w:hAnsi="宋体" w:cs="宋体"/>
          <w:sz w:val="24"/>
          <w:szCs w:val="24"/>
        </w:rPr>
      </w:pPr>
      <w:r>
        <w:rPr>
          <w:rFonts w:hint="eastAsia" w:ascii="宋体" w:hAnsi="宋体"/>
          <w:sz w:val="24"/>
          <w:szCs w:val="24"/>
        </w:rPr>
        <w:t xml:space="preserve">（2）重大疾病保障：</w:t>
      </w:r>
      <w:r>
        <w:rPr>
          <w:rFonts w:hint="eastAsia" w:ascii="宋体" w:hAnsi="宋体" w:cs="宋体"/>
          <w:sz w:val="24"/>
          <w:szCs w:val="24"/>
        </w:rPr>
        <w:t xml:space="preserve">在保险有效期间内，若被保险人自保险人对其开始承担保险责任之日后被确诊初次患中国保险行业协会制定的《重大疾病保险的疾病定义使用规范》中列明的重大疾病（无论一种或多种）的(含恶性肿瘤发现新扩散的)，保险人给付被保险人1万元重大疾病保险金，保险金给付后保险人对该被保险人的保险责任终止。</w:t>
      </w:r>
      <w:r>
        <w:rPr>
          <w:rFonts w:hint="eastAsia" w:ascii="宋体" w:hAnsi="宋体" w:cs="宋体"/>
          <w:sz w:val="24"/>
          <w:szCs w:val="24"/>
        </w:rPr>
      </w:r>
      <w:r/>
    </w:p>
    <w:p>
      <w:pPr>
        <w:pStyle w:val="797"/>
        <w:ind w:firstLine="480"/>
        <w:spacing w:line="360" w:lineRule="auto"/>
        <w:widowControl/>
        <w:rPr>
          <w:rFonts w:hint="eastAsia" w:ascii="宋体" w:hAnsi="宋体"/>
          <w:sz w:val="24"/>
          <w:szCs w:val="24"/>
        </w:rPr>
      </w:pPr>
      <w:r>
        <w:rPr>
          <w:rFonts w:hint="eastAsia" w:ascii="宋体" w:hAnsi="宋体"/>
          <w:sz w:val="24"/>
          <w:szCs w:val="24"/>
        </w:rPr>
        <w:t xml:space="preserve">（3）住院补贴及重大疾病保障无等待期。被保险人在其他保险公司投保同一险种的不影响本保险的赔付。</w:t>
      </w:r>
      <w:r>
        <w:rPr>
          <w:rFonts w:hint="eastAsia" w:ascii="宋体" w:hAnsi="宋体"/>
          <w:sz w:val="24"/>
          <w:szCs w:val="24"/>
        </w:rPr>
      </w:r>
      <w:r/>
    </w:p>
    <w:p>
      <w:pPr>
        <w:pStyle w:val="797"/>
        <w:ind w:firstLine="480"/>
        <w:spacing w:line="360" w:lineRule="auto"/>
        <w:widowControl/>
        <w:rPr>
          <w:rFonts w:hint="eastAsia" w:ascii="宋体" w:hAnsi="宋体" w:cs="宋体"/>
          <w:sz w:val="24"/>
          <w:szCs w:val="24"/>
        </w:rPr>
      </w:pPr>
      <w:r>
        <w:rPr>
          <w:rFonts w:hint="eastAsia" w:ascii="宋体" w:hAnsi="宋体" w:cs="仿宋_GB2312"/>
          <w:sz w:val="24"/>
          <w:szCs w:val="24"/>
        </w:rPr>
        <w:t xml:space="preserve">5、</w:t>
      </w:r>
      <w:r>
        <w:rPr>
          <w:rFonts w:hint="eastAsia" w:ascii="宋体" w:hAnsi="宋体" w:cs="宋体"/>
          <w:sz w:val="24"/>
          <w:szCs w:val="24"/>
        </w:rPr>
        <w:t xml:space="preserve">中国保险行业协会制定的《重大疾病保险的疾病定义使用规范》中列明的重大疾病：</w:t>
      </w:r>
      <w:r>
        <w:rPr>
          <w:rFonts w:hint="eastAsia" w:ascii="宋体" w:hAnsi="宋体" w:cs="宋体"/>
          <w:sz w:val="24"/>
          <w:szCs w:val="24"/>
        </w:rPr>
      </w:r>
      <w:r/>
    </w:p>
    <w:p>
      <w:pPr>
        <w:pStyle w:val="797"/>
        <w:ind w:firstLine="480"/>
        <w:jc w:val="left"/>
        <w:spacing w:line="360" w:lineRule="auto"/>
        <w:widowControl/>
        <w:rPr>
          <w:rFonts w:hint="eastAsia" w:ascii="宋体" w:hAnsi="宋体" w:cs="宋体"/>
          <w:sz w:val="24"/>
          <w:szCs w:val="24"/>
        </w:rPr>
      </w:pPr>
      <w:r>
        <w:rPr>
          <w:rFonts w:ascii="宋体" w:hAnsi="宋体" w:cs="宋体"/>
          <w:sz w:val="24"/>
          <w:szCs w:val="24"/>
        </w:rPr>
        <w:t xml:space="preserve">一、恶性肿瘤</w:t>
      </w:r>
      <w:r>
        <w:rPr>
          <w:rFonts w:ascii="宋体" w:hAnsi="宋体" w:cs="宋体"/>
          <w:sz w:val="24"/>
          <w:szCs w:val="24"/>
        </w:rPr>
        <w:br w:type="textWrapping" w:clear="all"/>
      </w:r>
      <w:r>
        <w:rPr>
          <w:rFonts w:ascii="宋体" w:hAnsi="宋体" w:cs="宋体"/>
          <w:sz w:val="24"/>
          <w:szCs w:val="24"/>
        </w:rPr>
        <w:t xml:space="preserve">　　指恶性细胞不受控制的进行性增长和扩散，浸润和破坏周围正常组织，可以经血管、淋巴管和体腔扩散转移到身体其它部位的疾病。经病理学检查结果明确诊断，临床诊断属于世界卫生组织《疾病和有关健康问题的国际统计分类》（ICD-10）的恶性肿瘤范畴。</w:t>
      </w:r>
      <w:r>
        <w:rPr>
          <w:rFonts w:ascii="宋体" w:hAnsi="宋体" w:cs="宋体"/>
          <w:sz w:val="24"/>
          <w:szCs w:val="24"/>
        </w:rPr>
        <w:br w:type="textWrapping" w:clear="all"/>
      </w:r>
      <w:r>
        <w:rPr>
          <w:rFonts w:ascii="宋体" w:hAnsi="宋体" w:cs="宋体"/>
          <w:sz w:val="24"/>
          <w:szCs w:val="24"/>
        </w:rPr>
        <w:t xml:space="preserve">　　下列疾病不在保障范围内：</w:t>
      </w:r>
      <w:r>
        <w:rPr>
          <w:rFonts w:ascii="宋体" w:hAnsi="宋体" w:cs="宋体"/>
          <w:sz w:val="24"/>
          <w:szCs w:val="24"/>
        </w:rPr>
        <w:br w:type="textWrapping" w:clear="all"/>
      </w:r>
      <w:r>
        <w:rPr>
          <w:rFonts w:ascii="宋体" w:hAnsi="宋体" w:cs="宋体"/>
          <w:sz w:val="24"/>
          <w:szCs w:val="24"/>
        </w:rPr>
        <w:t xml:space="preserve">　　（1）原位癌；</w:t>
      </w:r>
      <w:r>
        <w:rPr>
          <w:rFonts w:ascii="宋体" w:hAnsi="宋体" w:cs="宋体"/>
          <w:sz w:val="24"/>
          <w:szCs w:val="24"/>
        </w:rPr>
        <w:br w:type="textWrapping" w:clear="all"/>
      </w:r>
      <w:r>
        <w:rPr>
          <w:rFonts w:ascii="宋体" w:hAnsi="宋体" w:cs="宋体"/>
          <w:sz w:val="24"/>
          <w:szCs w:val="24"/>
        </w:rPr>
        <w:t xml:space="preserve">　　（2）相当于Binet分期方案A期程度的慢性淋巴细胞白血病；</w:t>
      </w:r>
      <w:r>
        <w:rPr>
          <w:rFonts w:ascii="宋体" w:hAnsi="宋体" w:cs="宋体"/>
          <w:sz w:val="24"/>
          <w:szCs w:val="24"/>
        </w:rPr>
        <w:br w:type="textWrapping" w:clear="all"/>
      </w:r>
      <w:r>
        <w:rPr>
          <w:rFonts w:ascii="宋体" w:hAnsi="宋体" w:cs="宋体"/>
          <w:sz w:val="24"/>
          <w:szCs w:val="24"/>
        </w:rPr>
        <w:t xml:space="preserve">　　（3）相当于Ann Arbor分期方案I期程度的何杰金氏病；　</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（4）皮肤癌（不包括恶性黑色素瘤及已发生转移的皮肤癌）；</w:t>
      </w:r>
      <w:r>
        <w:rPr>
          <w:rFonts w:ascii="宋体" w:hAnsi="宋体" w:cs="宋体"/>
          <w:sz w:val="24"/>
          <w:szCs w:val="24"/>
        </w:rPr>
        <w:br w:type="textWrapping" w:clear="all"/>
      </w:r>
      <w:r>
        <w:rPr>
          <w:rFonts w:ascii="宋体" w:hAnsi="宋体" w:cs="宋体"/>
          <w:sz w:val="24"/>
          <w:szCs w:val="24"/>
        </w:rPr>
        <w:t xml:space="preserve">　　（5）TNM分期为T1N0M0期或更轻分期的前列腺癌（注）；</w:t>
      </w:r>
      <w:r>
        <w:rPr>
          <w:rFonts w:ascii="宋体" w:hAnsi="宋体" w:cs="宋体"/>
          <w:sz w:val="24"/>
          <w:szCs w:val="24"/>
        </w:rPr>
        <w:br w:type="textWrapping" w:clear="all"/>
      </w:r>
      <w:r>
        <w:rPr>
          <w:rFonts w:ascii="宋体" w:hAnsi="宋体" w:cs="宋体"/>
          <w:sz w:val="24"/>
          <w:szCs w:val="24"/>
        </w:rPr>
        <w:t xml:space="preserve">　　（6）感染艾滋病病毒或患艾滋病期间所患恶性肿瘤。</w:t>
      </w:r>
      <w:r>
        <w:rPr>
          <w:rFonts w:ascii="宋体" w:hAnsi="宋体" w:cs="宋体"/>
          <w:sz w:val="24"/>
          <w:szCs w:val="24"/>
        </w:rPr>
        <w:br w:type="textWrapping" w:clear="all"/>
      </w:r>
      <w:r>
        <w:rPr>
          <w:rFonts w:ascii="宋体" w:hAnsi="宋体" w:cs="宋体"/>
          <w:sz w:val="24"/>
          <w:szCs w:val="24"/>
        </w:rPr>
        <w:t xml:space="preserve">　　注：如果为女性重大疾病保险，则不包括此项。</w:t>
      </w:r>
      <w:r>
        <w:rPr>
          <w:rFonts w:ascii="宋体" w:hAnsi="宋体" w:cs="宋体"/>
          <w:sz w:val="24"/>
          <w:szCs w:val="24"/>
        </w:rPr>
        <w:br w:type="textWrapping" w:clear="all"/>
      </w:r>
      <w:r>
        <w:rPr>
          <w:rFonts w:ascii="宋体" w:hAnsi="宋体" w:cs="宋体"/>
          <w:sz w:val="24"/>
          <w:szCs w:val="24"/>
        </w:rPr>
        <w:t xml:space="preserve">二、急性心肌梗塞</w:t>
      </w:r>
      <w:r>
        <w:rPr>
          <w:rFonts w:ascii="宋体" w:hAnsi="宋体" w:cs="宋体"/>
          <w:sz w:val="24"/>
          <w:szCs w:val="24"/>
        </w:rPr>
        <w:br w:type="textWrapping" w:clear="all"/>
      </w:r>
      <w:r>
        <w:rPr>
          <w:rFonts w:ascii="宋体" w:hAnsi="宋体" w:cs="宋体"/>
          <w:sz w:val="24"/>
          <w:szCs w:val="24"/>
        </w:rPr>
        <w:t xml:space="preserve">　　指因冠状动脉阻塞导致的相应区域供血不足造成部分心肌坏死。须满足下列至少三项条件：</w:t>
      </w:r>
      <w:r>
        <w:rPr>
          <w:rFonts w:ascii="宋体" w:hAnsi="宋体" w:cs="宋体"/>
          <w:sz w:val="24"/>
          <w:szCs w:val="24"/>
        </w:rPr>
        <w:br w:type="textWrapping" w:clear="all"/>
      </w:r>
      <w:r>
        <w:rPr>
          <w:rFonts w:ascii="宋体" w:hAnsi="宋体" w:cs="宋体"/>
          <w:sz w:val="24"/>
          <w:szCs w:val="24"/>
        </w:rPr>
        <w:t xml:space="preserve">　　（1）典型临床表现，例如急性胸痛等；</w:t>
      </w:r>
      <w:r>
        <w:rPr>
          <w:rFonts w:ascii="宋体" w:hAnsi="宋体" w:cs="宋体"/>
          <w:sz w:val="24"/>
          <w:szCs w:val="24"/>
        </w:rPr>
        <w:br w:type="textWrapping" w:clear="all"/>
      </w:r>
      <w:r>
        <w:rPr>
          <w:rFonts w:ascii="宋体" w:hAnsi="宋体" w:cs="宋体"/>
          <w:sz w:val="24"/>
          <w:szCs w:val="24"/>
        </w:rPr>
        <w:t xml:space="preserve">　　（2）新近的心电图改变提示急性心肌梗塞；</w:t>
      </w:r>
      <w:r>
        <w:rPr>
          <w:rFonts w:ascii="宋体" w:hAnsi="宋体" w:cs="宋体"/>
          <w:sz w:val="24"/>
          <w:szCs w:val="24"/>
        </w:rPr>
        <w:br w:type="textWrapping" w:clear="all"/>
      </w:r>
      <w:r>
        <w:rPr>
          <w:rFonts w:ascii="宋体" w:hAnsi="宋体" w:cs="宋体"/>
          <w:sz w:val="24"/>
          <w:szCs w:val="24"/>
        </w:rPr>
        <w:t xml:space="preserve">　　（3）心肌酶或肌钙蛋白有诊断意义的升高，或呈符合急性心肌梗塞的动态性变化；</w:t>
      </w:r>
      <w:r>
        <w:rPr>
          <w:rFonts w:ascii="宋体" w:hAnsi="宋体" w:cs="宋体"/>
          <w:sz w:val="24"/>
          <w:szCs w:val="24"/>
        </w:rPr>
        <w:br w:type="textWrapping" w:clear="all"/>
      </w:r>
      <w:r>
        <w:rPr>
          <w:rFonts w:ascii="宋体" w:hAnsi="宋体" w:cs="宋体"/>
          <w:sz w:val="24"/>
          <w:szCs w:val="24"/>
        </w:rPr>
        <w:t xml:space="preserve">　　（4）发病90天后，经检查证实左心室功能降低，如左心室射血分数低于50％。</w:t>
      </w:r>
      <w:r>
        <w:rPr>
          <w:rFonts w:ascii="宋体" w:hAnsi="宋体" w:cs="宋体"/>
          <w:sz w:val="24"/>
          <w:szCs w:val="24"/>
        </w:rPr>
        <w:br w:type="textWrapping" w:clear="all"/>
      </w:r>
      <w:r>
        <w:rPr>
          <w:rFonts w:ascii="宋体" w:hAnsi="宋体" w:cs="宋体"/>
          <w:sz w:val="24"/>
          <w:szCs w:val="24"/>
        </w:rPr>
        <w:t xml:space="preserve">三、脑中风后遗症</w:t>
      </w:r>
      <w:r>
        <w:rPr>
          <w:rFonts w:ascii="宋体" w:hAnsi="宋体" w:cs="宋体"/>
          <w:sz w:val="24"/>
          <w:szCs w:val="24"/>
        </w:rPr>
        <w:br w:type="textWrapping" w:clear="all"/>
      </w:r>
      <w:r>
        <w:rPr>
          <w:rFonts w:ascii="宋体" w:hAnsi="宋体" w:cs="宋体"/>
          <w:sz w:val="24"/>
          <w:szCs w:val="24"/>
        </w:rPr>
        <w:t xml:space="preserve">　　指因脑血管的突发病变引起脑血管出血、栓塞或梗塞，并导致神经系统永久性的功能障碍。神经系统永久性的功能障碍，指疾病确诊180天后，仍遗留下列一种或一种以上障碍：</w:t>
      </w:r>
      <w:r>
        <w:rPr>
          <w:rFonts w:ascii="宋体" w:hAnsi="宋体" w:cs="宋体"/>
          <w:sz w:val="24"/>
          <w:szCs w:val="24"/>
        </w:rPr>
        <w:br w:type="textWrapping" w:clear="all"/>
      </w:r>
      <w:r>
        <w:rPr>
          <w:rFonts w:ascii="宋体" w:hAnsi="宋体" w:cs="宋体"/>
          <w:sz w:val="24"/>
          <w:szCs w:val="24"/>
        </w:rPr>
        <w:t xml:space="preserve">　　（1）一肢或一肢以上肢体机能完全丧失；</w:t>
      </w:r>
      <w:r>
        <w:rPr>
          <w:rFonts w:ascii="宋体" w:hAnsi="宋体" w:cs="宋体"/>
          <w:sz w:val="24"/>
          <w:szCs w:val="24"/>
        </w:rPr>
        <w:br w:type="textWrapping" w:clear="all"/>
      </w:r>
      <w:r>
        <w:rPr>
          <w:rFonts w:ascii="宋体" w:hAnsi="宋体" w:cs="宋体"/>
          <w:sz w:val="24"/>
          <w:szCs w:val="24"/>
        </w:rPr>
        <w:t xml:space="preserve">　　（2）语言能力或咀嚼吞咽能力完全丧失；</w:t>
      </w:r>
      <w:r>
        <w:rPr>
          <w:rFonts w:ascii="宋体" w:hAnsi="宋体" w:cs="宋体"/>
          <w:sz w:val="24"/>
          <w:szCs w:val="24"/>
        </w:rPr>
        <w:br w:type="textWrapping" w:clear="all"/>
      </w:r>
      <w:r>
        <w:rPr>
          <w:rFonts w:ascii="宋体" w:hAnsi="宋体" w:cs="宋体"/>
          <w:sz w:val="24"/>
          <w:szCs w:val="24"/>
        </w:rPr>
        <w:t xml:space="preserve">　　（3）自主生活能力完全丧失，无法独立完成六项基本日常生活活动中的三项或三项以上。</w:t>
      </w:r>
      <w:r>
        <w:rPr>
          <w:rFonts w:ascii="宋体" w:hAnsi="宋体" w:cs="宋体"/>
          <w:sz w:val="24"/>
          <w:szCs w:val="24"/>
        </w:rPr>
        <w:br w:type="textWrapping" w:clear="all"/>
      </w:r>
      <w:r>
        <w:rPr>
          <w:rFonts w:ascii="宋体" w:hAnsi="宋体" w:cs="宋体"/>
          <w:sz w:val="24"/>
          <w:szCs w:val="24"/>
        </w:rPr>
        <w:t xml:space="preserve">四、重大器官移植术或造血干细胞移植术</w:t>
      </w:r>
      <w:r>
        <w:rPr>
          <w:rFonts w:ascii="宋体" w:hAnsi="宋体" w:cs="宋体"/>
          <w:sz w:val="24"/>
          <w:szCs w:val="24"/>
        </w:rPr>
        <w:br w:type="textWrapping" w:clear="all"/>
      </w:r>
      <w:r>
        <w:rPr>
          <w:rFonts w:ascii="宋体" w:hAnsi="宋体" w:cs="宋体"/>
          <w:sz w:val="24"/>
          <w:szCs w:val="24"/>
        </w:rPr>
        <w:t xml:space="preserve">　　重大器官移植术，指因相应器官功能衰竭，已经实施了肾脏、肝脏、心脏或肺脏的异体移植手术。</w:t>
      </w:r>
      <w:r>
        <w:rPr>
          <w:rFonts w:ascii="宋体" w:hAnsi="宋体" w:cs="宋体"/>
          <w:sz w:val="24"/>
          <w:szCs w:val="24"/>
        </w:rPr>
        <w:br w:type="textWrapping" w:clear="all"/>
      </w:r>
      <w:r>
        <w:rPr>
          <w:rFonts w:ascii="宋体" w:hAnsi="宋体" w:cs="宋体"/>
          <w:sz w:val="24"/>
          <w:szCs w:val="24"/>
        </w:rPr>
        <w:t xml:space="preserve">　　造血干细胞移植术，指因造血功能损害或造血系统恶性肿瘤，已经实施了造血干细胞（包括骨髓造血干细胞、外周血造血干细胞和脐血造血干细胞）的异体移植手术。</w:t>
      </w:r>
      <w:r>
        <w:rPr>
          <w:rFonts w:ascii="宋体" w:hAnsi="宋体" w:cs="宋体"/>
          <w:sz w:val="24"/>
          <w:szCs w:val="24"/>
        </w:rPr>
        <w:br w:type="textWrapping" w:clear="all"/>
      </w:r>
      <w:r>
        <w:rPr>
          <w:rFonts w:ascii="宋体" w:hAnsi="宋体" w:cs="宋体"/>
          <w:sz w:val="24"/>
          <w:szCs w:val="24"/>
        </w:rPr>
        <w:t xml:space="preserve">五、冠状动脉搭桥术（或称冠状动脉旁路移植术）</w:t>
      </w:r>
      <w:r>
        <w:rPr>
          <w:rFonts w:ascii="宋体" w:hAnsi="宋体" w:cs="宋体"/>
          <w:sz w:val="24"/>
          <w:szCs w:val="24"/>
        </w:rPr>
        <w:br w:type="textWrapping" w:clear="all"/>
      </w:r>
      <w:r>
        <w:rPr>
          <w:rFonts w:ascii="宋体" w:hAnsi="宋体" w:cs="宋体"/>
          <w:sz w:val="24"/>
          <w:szCs w:val="24"/>
        </w:rPr>
        <w:t xml:space="preserve">　　指为治疗严重的冠心病，实际实施了开胸进行的冠状动脉血管旁路移植的手术。</w:t>
      </w:r>
      <w:r>
        <w:rPr>
          <w:rFonts w:ascii="宋体" w:hAnsi="宋体" w:cs="宋体"/>
          <w:sz w:val="24"/>
          <w:szCs w:val="24"/>
        </w:rPr>
        <w:br w:type="textWrapping" w:clear="all"/>
      </w:r>
      <w:r>
        <w:rPr>
          <w:rFonts w:ascii="宋体" w:hAnsi="宋体" w:cs="宋体"/>
          <w:sz w:val="24"/>
          <w:szCs w:val="24"/>
        </w:rPr>
        <w:t xml:space="preserve">　　冠状动脉支架植入术、心导管球囊扩张术、激光射频技术及其它非开胸的介入手术、腔镜手术不在保障范围内。</w:t>
      </w:r>
      <w:r>
        <w:rPr>
          <w:rFonts w:ascii="宋体" w:hAnsi="宋体" w:cs="宋体"/>
          <w:sz w:val="24"/>
          <w:szCs w:val="24"/>
        </w:rPr>
        <w:br w:type="textWrapping" w:clear="all"/>
      </w:r>
      <w:r>
        <w:rPr>
          <w:rFonts w:ascii="宋体" w:hAnsi="宋体" w:cs="宋体"/>
          <w:sz w:val="24"/>
          <w:szCs w:val="24"/>
        </w:rPr>
        <w:t xml:space="preserve">六、终末期肾病（或称慢性肾功能衰竭尿毒症期）</w:t>
      </w:r>
      <w:r>
        <w:rPr>
          <w:rFonts w:ascii="宋体" w:hAnsi="宋体" w:cs="宋体"/>
          <w:sz w:val="24"/>
          <w:szCs w:val="24"/>
        </w:rPr>
        <w:br w:type="textWrapping" w:clear="all"/>
      </w:r>
      <w:r>
        <w:rPr>
          <w:rFonts w:ascii="宋体" w:hAnsi="宋体" w:cs="宋体"/>
          <w:sz w:val="24"/>
          <w:szCs w:val="24"/>
        </w:rPr>
        <w:t xml:space="preserve">　　指双肾功能慢性不可逆性衰竭，达到尿毒症期，经诊断后已经进行了至少90天的规律性透析治疗或实施了肾脏移植手术。</w:t>
      </w:r>
      <w:r>
        <w:rPr>
          <w:rFonts w:ascii="宋体" w:hAnsi="宋体" w:cs="宋体"/>
          <w:sz w:val="24"/>
          <w:szCs w:val="24"/>
        </w:rPr>
        <w:br w:type="textWrapping" w:clear="all"/>
      </w:r>
      <w:r>
        <w:rPr>
          <w:rFonts w:ascii="宋体" w:hAnsi="宋体" w:cs="宋体"/>
          <w:sz w:val="24"/>
          <w:szCs w:val="24"/>
        </w:rPr>
        <w:t xml:space="preserve">七、多个肢体缺失</w:t>
      </w:r>
      <w:r>
        <w:rPr>
          <w:rFonts w:ascii="宋体" w:hAnsi="宋体" w:cs="宋体"/>
          <w:sz w:val="24"/>
          <w:szCs w:val="24"/>
        </w:rPr>
        <w:br w:type="textWrapping" w:clear="all"/>
      </w:r>
      <w:r>
        <w:rPr>
          <w:rFonts w:ascii="宋体" w:hAnsi="宋体" w:cs="宋体"/>
          <w:sz w:val="24"/>
          <w:szCs w:val="24"/>
        </w:rPr>
        <w:t xml:space="preserve">　　指因疾病或意外伤害导致两个或两个以上肢体自腕关节或踝关节近端（靠近躯干端）以上完全性断离。</w:t>
      </w:r>
      <w:r>
        <w:rPr>
          <w:rFonts w:ascii="宋体" w:hAnsi="宋体" w:cs="宋体"/>
          <w:sz w:val="24"/>
          <w:szCs w:val="24"/>
        </w:rPr>
        <w:br w:type="textWrapping" w:clear="all"/>
      </w:r>
      <w:r>
        <w:rPr>
          <w:rFonts w:ascii="宋体" w:hAnsi="宋体" w:cs="宋体"/>
          <w:sz w:val="24"/>
          <w:szCs w:val="24"/>
        </w:rPr>
        <w:t xml:space="preserve">八、急性或亚急性重症肝炎</w:t>
      </w:r>
      <w:r>
        <w:rPr>
          <w:rFonts w:ascii="宋体" w:hAnsi="宋体" w:cs="宋体"/>
          <w:sz w:val="24"/>
          <w:szCs w:val="24"/>
        </w:rPr>
        <w:br w:type="textWrapping" w:clear="all"/>
      </w:r>
      <w:r>
        <w:rPr>
          <w:rFonts w:ascii="宋体" w:hAnsi="宋体" w:cs="宋体"/>
          <w:sz w:val="24"/>
          <w:szCs w:val="24"/>
        </w:rPr>
        <w:t xml:space="preserve">　　指因肝炎病毒感染引起肝脏组织弥漫性坏死，导致急性肝功能衰竭，且经血清学或病毒学检查证实，并须满足下列全部条件：</w:t>
      </w:r>
      <w:r>
        <w:rPr>
          <w:rFonts w:ascii="宋体" w:hAnsi="宋体" w:cs="宋体"/>
          <w:sz w:val="24"/>
          <w:szCs w:val="24"/>
        </w:rPr>
        <w:br w:type="textWrapping" w:clear="all"/>
      </w:r>
      <w:r>
        <w:rPr>
          <w:rFonts w:ascii="宋体" w:hAnsi="宋体" w:cs="宋体"/>
          <w:sz w:val="24"/>
          <w:szCs w:val="24"/>
        </w:rPr>
        <w:t xml:space="preserve">　　（1）重度黄疸或黄疸迅速加重；</w:t>
      </w:r>
      <w:r>
        <w:rPr>
          <w:rFonts w:ascii="宋体" w:hAnsi="宋体" w:cs="宋体"/>
          <w:sz w:val="24"/>
          <w:szCs w:val="24"/>
        </w:rPr>
        <w:br w:type="textWrapping" w:clear="all"/>
      </w:r>
      <w:r>
        <w:rPr>
          <w:rFonts w:ascii="宋体" w:hAnsi="宋体" w:cs="宋体"/>
          <w:sz w:val="24"/>
          <w:szCs w:val="24"/>
        </w:rPr>
        <w:t xml:space="preserve">　　（2）肝性脑病；</w:t>
      </w:r>
      <w:r>
        <w:rPr>
          <w:rFonts w:ascii="宋体" w:hAnsi="宋体" w:cs="宋体"/>
          <w:sz w:val="24"/>
          <w:szCs w:val="24"/>
        </w:rPr>
        <w:br w:type="textWrapping" w:clear="all"/>
      </w:r>
      <w:r>
        <w:rPr>
          <w:rFonts w:ascii="宋体" w:hAnsi="宋体" w:cs="宋体"/>
          <w:sz w:val="24"/>
          <w:szCs w:val="24"/>
        </w:rPr>
        <w:t xml:space="preserve">　　（3）B超或其它影像学检查显示肝脏体积急速萎缩；</w:t>
      </w:r>
      <w:r>
        <w:rPr>
          <w:rFonts w:ascii="宋体" w:hAnsi="宋体" w:cs="宋体"/>
          <w:sz w:val="24"/>
          <w:szCs w:val="24"/>
        </w:rPr>
        <w:br w:type="textWrapping" w:clear="all"/>
      </w:r>
      <w:r>
        <w:rPr>
          <w:rFonts w:ascii="宋体" w:hAnsi="宋体" w:cs="宋体"/>
          <w:sz w:val="24"/>
          <w:szCs w:val="24"/>
        </w:rPr>
        <w:t xml:space="preserve">　　（4）肝功能指标进行性恶化。</w:t>
      </w:r>
      <w:r>
        <w:rPr>
          <w:rFonts w:ascii="宋体" w:hAnsi="宋体" w:cs="宋体"/>
          <w:sz w:val="24"/>
          <w:szCs w:val="24"/>
        </w:rPr>
        <w:br w:type="textWrapping" w:clear="all"/>
      </w:r>
      <w:r>
        <w:rPr>
          <w:rFonts w:ascii="宋体" w:hAnsi="宋体" w:cs="宋体"/>
          <w:sz w:val="24"/>
          <w:szCs w:val="24"/>
        </w:rPr>
        <w:t xml:space="preserve">九、良性脑肿瘤</w:t>
      </w:r>
      <w:r>
        <w:rPr>
          <w:rFonts w:ascii="宋体" w:hAnsi="宋体" w:cs="宋体"/>
          <w:sz w:val="24"/>
          <w:szCs w:val="24"/>
        </w:rPr>
        <w:br w:type="textWrapping" w:clear="all"/>
      </w:r>
      <w:r>
        <w:rPr>
          <w:rFonts w:ascii="宋体" w:hAnsi="宋体" w:cs="宋体"/>
          <w:sz w:val="24"/>
          <w:szCs w:val="24"/>
        </w:rPr>
        <w:t xml:space="preserve">　　指脑的良性肿瘤，已经引起颅内压增高，临床表现为视神经乳头水肿、精神症状、癫痫及运动感觉障碍等，并危及生命。须由头颅断层扫描（CT）、核磁共振检查（MRI）或正电子发射断层扫描（PET）等影像学检查证实，并须满足下列至少一项条件：</w:t>
      </w:r>
      <w:r>
        <w:rPr>
          <w:rFonts w:ascii="宋体" w:hAnsi="宋体" w:cs="宋体"/>
          <w:sz w:val="24"/>
          <w:szCs w:val="24"/>
        </w:rPr>
        <w:br w:type="textWrapping" w:clear="all"/>
      </w:r>
      <w:r>
        <w:rPr>
          <w:rFonts w:ascii="宋体" w:hAnsi="宋体" w:cs="宋体"/>
          <w:sz w:val="24"/>
          <w:szCs w:val="24"/>
        </w:rPr>
        <w:t xml:space="preserve">　　（1）实际实施了开颅进行的脑肿瘤完全切除或部分切除的手术；</w:t>
      </w:r>
      <w:r>
        <w:rPr>
          <w:rFonts w:ascii="宋体" w:hAnsi="宋体" w:cs="宋体"/>
          <w:sz w:val="24"/>
          <w:szCs w:val="24"/>
        </w:rPr>
        <w:br w:type="textWrapping" w:clear="all"/>
      </w:r>
      <w:r>
        <w:rPr>
          <w:rFonts w:ascii="宋体" w:hAnsi="宋体" w:cs="宋体"/>
          <w:sz w:val="24"/>
          <w:szCs w:val="24"/>
        </w:rPr>
        <w:t xml:space="preserve">　　（2）实际实施了对脑肿瘤进行的放射治疗。</w:t>
      </w:r>
      <w:r>
        <w:rPr>
          <w:rFonts w:ascii="宋体" w:hAnsi="宋体" w:cs="宋体"/>
          <w:sz w:val="24"/>
          <w:szCs w:val="24"/>
        </w:rPr>
        <w:br w:type="textWrapping" w:clear="all"/>
      </w:r>
      <w:r>
        <w:rPr>
          <w:rFonts w:ascii="宋体" w:hAnsi="宋体" w:cs="宋体"/>
          <w:sz w:val="24"/>
          <w:szCs w:val="24"/>
        </w:rPr>
        <w:t xml:space="preserve">　　脑垂体瘤、脑囊肿、脑血管性疾病不在保障范围内。</w:t>
      </w:r>
      <w:r>
        <w:rPr>
          <w:rFonts w:ascii="宋体" w:hAnsi="宋体" w:cs="宋体"/>
          <w:sz w:val="24"/>
          <w:szCs w:val="24"/>
        </w:rPr>
        <w:br w:type="textWrapping" w:clear="all"/>
      </w:r>
      <w:r>
        <w:rPr>
          <w:rFonts w:ascii="宋体" w:hAnsi="宋体" w:cs="宋体"/>
          <w:sz w:val="24"/>
          <w:szCs w:val="24"/>
        </w:rPr>
        <w:t xml:space="preserve">十、慢性肝功能衰竭失代偿期</w:t>
      </w:r>
      <w:r>
        <w:rPr>
          <w:rFonts w:ascii="宋体" w:hAnsi="宋体" w:cs="宋体"/>
          <w:sz w:val="24"/>
          <w:szCs w:val="24"/>
        </w:rPr>
        <w:br w:type="textWrapping" w:clear="all"/>
      </w:r>
      <w:r>
        <w:rPr>
          <w:rFonts w:ascii="宋体" w:hAnsi="宋体" w:cs="宋体"/>
          <w:sz w:val="24"/>
          <w:szCs w:val="24"/>
        </w:rPr>
        <w:t xml:space="preserve">　　指因慢性肝脏疾病导致肝功能衰竭。须满足下列全部条件：</w:t>
      </w:r>
      <w:r>
        <w:rPr>
          <w:rFonts w:ascii="宋体" w:hAnsi="宋体" w:cs="宋体"/>
          <w:sz w:val="24"/>
          <w:szCs w:val="24"/>
        </w:rPr>
        <w:br w:type="textWrapping" w:clear="all"/>
      </w:r>
      <w:r>
        <w:rPr>
          <w:rFonts w:ascii="宋体" w:hAnsi="宋体" w:cs="宋体"/>
          <w:sz w:val="24"/>
          <w:szCs w:val="24"/>
        </w:rPr>
        <w:t xml:space="preserve">　　（1）持续性黄疸；</w:t>
      </w:r>
      <w:r>
        <w:rPr>
          <w:rFonts w:ascii="宋体" w:hAnsi="宋体" w:cs="宋体"/>
          <w:sz w:val="24"/>
          <w:szCs w:val="24"/>
        </w:rPr>
        <w:br w:type="textWrapping" w:clear="all"/>
      </w:r>
      <w:r>
        <w:rPr>
          <w:rFonts w:ascii="宋体" w:hAnsi="宋体" w:cs="宋体"/>
          <w:sz w:val="24"/>
          <w:szCs w:val="24"/>
        </w:rPr>
        <w:t xml:space="preserve">　　（2）腹水；</w:t>
      </w:r>
      <w:r>
        <w:rPr>
          <w:rFonts w:ascii="宋体" w:hAnsi="宋体" w:cs="宋体"/>
          <w:sz w:val="24"/>
          <w:szCs w:val="24"/>
        </w:rPr>
        <w:br w:type="textWrapping" w:clear="all"/>
      </w:r>
      <w:r>
        <w:rPr>
          <w:rFonts w:ascii="宋体" w:hAnsi="宋体" w:cs="宋体"/>
          <w:sz w:val="24"/>
          <w:szCs w:val="24"/>
        </w:rPr>
        <w:t xml:space="preserve">　　（3）肝性脑病；</w:t>
      </w:r>
      <w:r>
        <w:rPr>
          <w:rFonts w:ascii="宋体" w:hAnsi="宋体" w:cs="宋体"/>
          <w:sz w:val="24"/>
          <w:szCs w:val="24"/>
        </w:rPr>
        <w:br w:type="textWrapping" w:clear="all"/>
      </w:r>
      <w:r>
        <w:rPr>
          <w:rFonts w:ascii="宋体" w:hAnsi="宋体" w:cs="宋体"/>
          <w:sz w:val="24"/>
          <w:szCs w:val="24"/>
        </w:rPr>
        <w:t xml:space="preserve">　　（4）充血性脾肿大伴脾功能亢进或食管胃底静脉曲张。</w:t>
      </w:r>
      <w:r>
        <w:rPr>
          <w:rFonts w:ascii="宋体" w:hAnsi="宋体" w:cs="宋体"/>
          <w:sz w:val="24"/>
          <w:szCs w:val="24"/>
        </w:rPr>
        <w:br w:type="textWrapping" w:clear="all"/>
      </w:r>
      <w:r>
        <w:rPr>
          <w:rFonts w:ascii="宋体" w:hAnsi="宋体" w:cs="宋体"/>
          <w:sz w:val="24"/>
          <w:szCs w:val="24"/>
        </w:rPr>
        <w:t xml:space="preserve">　　因酗酒或药物滥用导致的肝功能衰竭不在保障范围内。</w:t>
      </w:r>
      <w:r>
        <w:rPr>
          <w:rFonts w:ascii="宋体" w:hAnsi="宋体" w:cs="宋体"/>
          <w:sz w:val="24"/>
          <w:szCs w:val="24"/>
        </w:rPr>
        <w:br w:type="textWrapping" w:clear="all"/>
      </w:r>
      <w:r>
        <w:rPr>
          <w:rFonts w:ascii="宋体" w:hAnsi="宋体" w:cs="宋体"/>
          <w:sz w:val="24"/>
          <w:szCs w:val="24"/>
        </w:rPr>
        <w:t xml:space="preserve">十一、脑炎后遗症或脑膜炎后遗症</w:t>
      </w:r>
      <w:r>
        <w:rPr>
          <w:rFonts w:ascii="宋体" w:hAnsi="宋体" w:cs="宋体"/>
          <w:sz w:val="24"/>
          <w:szCs w:val="24"/>
        </w:rPr>
        <w:br w:type="textWrapping" w:clear="all"/>
      </w:r>
      <w:r>
        <w:rPr>
          <w:rFonts w:ascii="宋体" w:hAnsi="宋体" w:cs="宋体"/>
          <w:sz w:val="24"/>
          <w:szCs w:val="24"/>
        </w:rPr>
        <w:t xml:space="preserve">　　指因患脑炎或脑膜炎导致的神经系统永久性的功能障碍。神经系统永久性的功能障碍，指疾病确诊180天后，仍遗留下列一种或一种以上障碍：</w:t>
      </w:r>
      <w:r>
        <w:rPr>
          <w:rFonts w:ascii="宋体" w:hAnsi="宋体" w:cs="宋体"/>
          <w:sz w:val="24"/>
          <w:szCs w:val="24"/>
        </w:rPr>
        <w:br w:type="textWrapping" w:clear="all"/>
      </w:r>
      <w:r>
        <w:rPr>
          <w:rFonts w:ascii="宋体" w:hAnsi="宋体" w:cs="宋体"/>
          <w:sz w:val="24"/>
          <w:szCs w:val="24"/>
        </w:rPr>
        <w:t xml:space="preserve">　　（1）一肢或一肢以上肢体机能完全丧失；</w:t>
      </w:r>
      <w:r>
        <w:rPr>
          <w:rFonts w:ascii="宋体" w:hAnsi="宋体" w:cs="宋体"/>
          <w:sz w:val="24"/>
          <w:szCs w:val="24"/>
        </w:rPr>
        <w:br w:type="textWrapping" w:clear="all"/>
      </w:r>
      <w:r>
        <w:rPr>
          <w:rFonts w:ascii="宋体" w:hAnsi="宋体" w:cs="宋体"/>
          <w:sz w:val="24"/>
          <w:szCs w:val="24"/>
        </w:rPr>
        <w:t xml:space="preserve">　　（2）语言能力或咀嚼吞咽能力完全丧失；</w:t>
      </w:r>
      <w:r>
        <w:rPr>
          <w:rFonts w:ascii="宋体" w:hAnsi="宋体" w:cs="宋体"/>
          <w:sz w:val="24"/>
          <w:szCs w:val="24"/>
        </w:rPr>
        <w:br w:type="textWrapping" w:clear="all"/>
      </w:r>
      <w:r>
        <w:rPr>
          <w:rFonts w:ascii="宋体" w:hAnsi="宋体" w:cs="宋体"/>
          <w:sz w:val="24"/>
          <w:szCs w:val="24"/>
        </w:rPr>
        <w:t xml:space="preserve">　　（3）自主生活能力完全丧失，无法独立完成六项基本日常生活活动中的三项或三项以上。</w:t>
      </w:r>
      <w:r>
        <w:rPr>
          <w:rFonts w:ascii="宋体" w:hAnsi="宋体" w:cs="宋体"/>
          <w:sz w:val="24"/>
          <w:szCs w:val="24"/>
        </w:rPr>
        <w:br w:type="textWrapping" w:clear="all"/>
      </w:r>
      <w:r>
        <w:rPr>
          <w:rFonts w:ascii="宋体" w:hAnsi="宋体" w:cs="宋体"/>
          <w:sz w:val="24"/>
          <w:szCs w:val="24"/>
        </w:rPr>
        <w:t xml:space="preserve">十二、深度昏迷</w:t>
      </w:r>
      <w:r>
        <w:rPr>
          <w:rFonts w:ascii="宋体" w:hAnsi="宋体" w:cs="宋体"/>
          <w:sz w:val="24"/>
          <w:szCs w:val="24"/>
        </w:rPr>
        <w:br w:type="textWrapping" w:clear="all"/>
      </w:r>
      <w:r>
        <w:rPr>
          <w:rFonts w:ascii="宋体" w:hAnsi="宋体" w:cs="宋体"/>
          <w:sz w:val="24"/>
          <w:szCs w:val="24"/>
        </w:rPr>
        <w:t xml:space="preserve">　　指因疾病或意外伤害导致意识丧失，对外界刺激和体内需求均无反应，昏迷程度按照格拉斯哥昏迷分级（Glasgow coma scale）结果为5分或5分以下，且已经持续使用呼吸机及其它生命维持系统96小时以上。</w:t>
      </w:r>
      <w:r>
        <w:rPr>
          <w:rFonts w:ascii="宋体" w:hAnsi="宋体" w:cs="宋体"/>
          <w:sz w:val="24"/>
          <w:szCs w:val="24"/>
        </w:rPr>
        <w:br w:type="textWrapping" w:clear="all"/>
      </w:r>
      <w:r>
        <w:rPr>
          <w:rFonts w:ascii="宋体" w:hAnsi="宋体" w:cs="宋体"/>
          <w:sz w:val="24"/>
          <w:szCs w:val="24"/>
        </w:rPr>
        <w:t xml:space="preserve">　　因酗酒或药物滥用导致的深度昏迷不在保障范围内。</w:t>
      </w:r>
      <w:r>
        <w:rPr>
          <w:rFonts w:ascii="宋体" w:hAnsi="宋体" w:cs="宋体"/>
          <w:sz w:val="24"/>
          <w:szCs w:val="24"/>
        </w:rPr>
        <w:br w:type="textWrapping" w:clear="all"/>
      </w:r>
      <w:r>
        <w:rPr>
          <w:rFonts w:ascii="宋体" w:hAnsi="宋体" w:cs="宋体"/>
          <w:sz w:val="24"/>
          <w:szCs w:val="24"/>
        </w:rPr>
        <w:t xml:space="preserve">十三、双耳失聪</w:t>
      </w:r>
      <w:r>
        <w:rPr>
          <w:rFonts w:ascii="宋体" w:hAnsi="宋体" w:cs="宋体"/>
          <w:sz w:val="24"/>
          <w:szCs w:val="24"/>
        </w:rPr>
        <w:br w:type="textWrapping" w:clear="all"/>
      </w:r>
      <w:r>
        <w:rPr>
          <w:rFonts w:ascii="宋体" w:hAnsi="宋体" w:cs="宋体"/>
          <w:sz w:val="24"/>
          <w:szCs w:val="24"/>
        </w:rPr>
        <w:t xml:space="preserve">　　指因疾病或意外伤害导致双耳听力永久不可逆性丧失，在500赫兹、1000赫兹和2000赫兹语音频率下，平均听阈大于90分贝，且经纯音听力测试、声导抗检测或听觉诱发电位检测等证实。</w:t>
      </w:r>
      <w:r>
        <w:rPr>
          <w:rFonts w:ascii="宋体" w:hAnsi="宋体" w:cs="宋体"/>
          <w:sz w:val="24"/>
          <w:szCs w:val="24"/>
        </w:rPr>
        <w:br w:type="textWrapping" w:clear="all"/>
      </w:r>
      <w:r>
        <w:rPr>
          <w:rFonts w:ascii="宋体" w:hAnsi="宋体" w:cs="宋体"/>
          <w:sz w:val="24"/>
          <w:szCs w:val="24"/>
        </w:rPr>
        <w:t xml:space="preserve">　　注：如果保险公司仅承担被保险人在某年龄之后的保障责任，须在疾病定义中特别说明。</w:t>
      </w:r>
      <w:r>
        <w:rPr>
          <w:rFonts w:ascii="宋体" w:hAnsi="宋体" w:cs="宋体"/>
          <w:sz w:val="24"/>
          <w:szCs w:val="24"/>
        </w:rPr>
        <w:br w:type="textWrapping" w:clear="all"/>
      </w:r>
      <w:r>
        <w:rPr>
          <w:rFonts w:ascii="宋体" w:hAnsi="宋体" w:cs="宋体"/>
          <w:sz w:val="24"/>
          <w:szCs w:val="24"/>
        </w:rPr>
        <w:t xml:space="preserve">十四、双目失明</w:t>
      </w:r>
      <w:r>
        <w:rPr>
          <w:rFonts w:ascii="宋体" w:hAnsi="宋体" w:cs="宋体"/>
          <w:sz w:val="24"/>
          <w:szCs w:val="24"/>
        </w:rPr>
        <w:br w:type="textWrapping" w:clear="all"/>
      </w:r>
      <w:r>
        <w:rPr>
          <w:rFonts w:ascii="宋体" w:hAnsi="宋体" w:cs="宋体"/>
          <w:sz w:val="24"/>
          <w:szCs w:val="24"/>
        </w:rPr>
        <w:t xml:space="preserve">　　指因疾病或意外伤害导致双眼视力永久不可逆性丧失，双眼中较好眼须满足下列至少一项条件：</w:t>
      </w:r>
      <w:r>
        <w:rPr>
          <w:rFonts w:ascii="宋体" w:hAnsi="宋体" w:cs="宋体"/>
          <w:sz w:val="24"/>
          <w:szCs w:val="24"/>
        </w:rPr>
        <w:br w:type="textWrapping" w:clear="all"/>
      </w:r>
      <w:r>
        <w:rPr>
          <w:rFonts w:ascii="宋体" w:hAnsi="宋体" w:cs="宋体"/>
          <w:sz w:val="24"/>
          <w:szCs w:val="24"/>
        </w:rPr>
        <w:t xml:space="preserve">　　（1）眼球缺失或摘除；</w:t>
      </w:r>
      <w:r>
        <w:rPr>
          <w:rFonts w:ascii="宋体" w:hAnsi="宋体" w:cs="宋体"/>
          <w:sz w:val="24"/>
          <w:szCs w:val="24"/>
        </w:rPr>
        <w:br w:type="textWrapping" w:clear="all"/>
      </w:r>
      <w:r>
        <w:rPr>
          <w:rFonts w:ascii="宋体" w:hAnsi="宋体" w:cs="宋体"/>
          <w:sz w:val="24"/>
          <w:szCs w:val="24"/>
        </w:rPr>
        <w:t xml:space="preserve">　　（2）矫正视力低于0.02（采用国际标准视力表，如果使用其它视力表应进行换算）；</w:t>
      </w:r>
      <w:r>
        <w:rPr>
          <w:rFonts w:ascii="宋体" w:hAnsi="宋体" w:cs="宋体"/>
          <w:sz w:val="24"/>
          <w:szCs w:val="24"/>
        </w:rPr>
        <w:br w:type="textWrapping" w:clear="all"/>
      </w:r>
      <w:r>
        <w:rPr>
          <w:rFonts w:ascii="宋体" w:hAnsi="宋体" w:cs="宋体"/>
          <w:sz w:val="24"/>
          <w:szCs w:val="24"/>
        </w:rPr>
        <w:t xml:space="preserve">　　（3）视野半径小于5度。</w:t>
      </w:r>
      <w:r>
        <w:rPr>
          <w:rFonts w:ascii="宋体" w:hAnsi="宋体" w:cs="宋体"/>
          <w:sz w:val="24"/>
          <w:szCs w:val="24"/>
        </w:rPr>
        <w:br w:type="textWrapping" w:clear="all"/>
      </w:r>
      <w:r>
        <w:rPr>
          <w:rFonts w:ascii="宋体" w:hAnsi="宋体" w:cs="宋体"/>
          <w:sz w:val="24"/>
          <w:szCs w:val="24"/>
        </w:rPr>
        <w:t xml:space="preserve">　　注：如果保险公司仅承担被保险人在某年龄之后的保障责任，须在疾病定义中特别说明。</w:t>
      </w:r>
      <w:r>
        <w:rPr>
          <w:rFonts w:ascii="宋体" w:hAnsi="宋体" w:cs="宋体"/>
          <w:sz w:val="24"/>
          <w:szCs w:val="24"/>
        </w:rPr>
        <w:br w:type="textWrapping" w:clear="all"/>
      </w:r>
      <w:r>
        <w:rPr>
          <w:rFonts w:ascii="宋体" w:hAnsi="宋体" w:cs="宋体"/>
          <w:sz w:val="24"/>
          <w:szCs w:val="24"/>
        </w:rPr>
        <w:t xml:space="preserve">十五、瘫痪</w:t>
      </w:r>
      <w:r>
        <w:rPr>
          <w:rFonts w:ascii="宋体" w:hAnsi="宋体" w:cs="宋体"/>
          <w:sz w:val="24"/>
          <w:szCs w:val="24"/>
        </w:rPr>
        <w:br w:type="textWrapping" w:clear="all"/>
      </w:r>
      <w:r>
        <w:rPr>
          <w:rFonts w:ascii="宋体" w:hAnsi="宋体" w:cs="宋体"/>
          <w:sz w:val="24"/>
          <w:szCs w:val="24"/>
        </w:rPr>
        <w:t xml:space="preserve">　　指因疾病或意外伤害导致两肢或两肢以上肢体机能永久完全丧失。肢体机能永久完全丧失，指疾病确诊180天后或意外伤害发生180天后，每肢三大关节中的两大关节仍然完全僵硬，或不能随意识活动。</w:t>
      </w:r>
      <w:r>
        <w:rPr>
          <w:rFonts w:ascii="宋体" w:hAnsi="宋体" w:cs="宋体"/>
          <w:sz w:val="24"/>
          <w:szCs w:val="24"/>
        </w:rPr>
        <w:br w:type="textWrapping" w:clear="all"/>
      </w:r>
      <w:r>
        <w:rPr>
          <w:rFonts w:ascii="宋体" w:hAnsi="宋体" w:cs="宋体"/>
          <w:sz w:val="24"/>
          <w:szCs w:val="24"/>
        </w:rPr>
        <w:t xml:space="preserve">十六、心脏瓣膜手术</w:t>
      </w:r>
      <w:r>
        <w:rPr>
          <w:rFonts w:ascii="宋体" w:hAnsi="宋体" w:cs="宋体"/>
          <w:sz w:val="24"/>
          <w:szCs w:val="24"/>
        </w:rPr>
        <w:br w:type="textWrapping" w:clear="all"/>
      </w:r>
      <w:r>
        <w:rPr>
          <w:rFonts w:ascii="宋体" w:hAnsi="宋体" w:cs="宋体"/>
          <w:sz w:val="24"/>
          <w:szCs w:val="24"/>
        </w:rPr>
        <w:t xml:space="preserve">　　指为治疗心脏瓣膜疾病，实际实施了开胸进行的心脏瓣膜置换或修复的手术。</w:t>
      </w:r>
      <w:r>
        <w:rPr>
          <w:rFonts w:ascii="宋体" w:hAnsi="宋体" w:cs="宋体"/>
          <w:sz w:val="24"/>
          <w:szCs w:val="24"/>
        </w:rPr>
        <w:br w:type="textWrapping" w:clear="all"/>
      </w:r>
      <w:r>
        <w:rPr>
          <w:rFonts w:ascii="宋体" w:hAnsi="宋体" w:cs="宋体"/>
          <w:sz w:val="24"/>
          <w:szCs w:val="24"/>
        </w:rPr>
        <w:t xml:space="preserve">十七、严重阿尔茨海默病</w:t>
      </w:r>
      <w:r>
        <w:rPr>
          <w:rFonts w:ascii="宋体" w:hAnsi="宋体" w:cs="宋体"/>
          <w:sz w:val="24"/>
          <w:szCs w:val="24"/>
        </w:rPr>
        <w:br w:type="textWrapping" w:clear="all"/>
      </w:r>
      <w:r>
        <w:rPr>
          <w:rFonts w:ascii="宋体" w:hAnsi="宋体" w:cs="宋体"/>
          <w:sz w:val="24"/>
          <w:szCs w:val="24"/>
        </w:rPr>
        <w:t xml:space="preserve">　　指因大脑进行性、不可逆性改变导致智能严重衰退或丧失，临床表现为明显的认知能力障碍、行为异常和社交能力减退，其日常生活必须持续受到他人监护。须由头颅断层扫描（CT）、核磁共振检查（MRI）或正电子发射断层扫描（PET）等影像学检查证实，且自主生活能力完全丧失，无法独立完成六项基本日常生活活动中的三项或三项以上。</w:t>
      </w:r>
      <w:r>
        <w:rPr>
          <w:rFonts w:ascii="宋体" w:hAnsi="宋体" w:cs="宋体"/>
          <w:sz w:val="24"/>
          <w:szCs w:val="24"/>
        </w:rPr>
        <w:br w:type="textWrapping" w:clear="all"/>
      </w:r>
      <w:r>
        <w:rPr>
          <w:rFonts w:ascii="宋体" w:hAnsi="宋体" w:cs="宋体"/>
          <w:sz w:val="24"/>
          <w:szCs w:val="24"/>
        </w:rPr>
        <w:t xml:space="preserve">　　神经官能症和精神疾病不在保障范围内。</w:t>
      </w:r>
      <w:r>
        <w:rPr>
          <w:rFonts w:ascii="宋体" w:hAnsi="宋体" w:cs="宋体"/>
          <w:sz w:val="24"/>
          <w:szCs w:val="24"/>
        </w:rPr>
        <w:br w:type="textWrapping" w:clear="all"/>
      </w:r>
      <w:r>
        <w:rPr>
          <w:rFonts w:ascii="宋体" w:hAnsi="宋体" w:cs="宋体"/>
          <w:sz w:val="24"/>
          <w:szCs w:val="24"/>
        </w:rPr>
        <w:t xml:space="preserve">　　注：如果保险公司仅承担被保险人在某年龄之前的保障责任，须在疾病定义中特别说明。</w:t>
      </w:r>
      <w:r>
        <w:rPr>
          <w:rFonts w:ascii="宋体" w:hAnsi="宋体" w:cs="宋体"/>
          <w:sz w:val="24"/>
          <w:szCs w:val="24"/>
        </w:rPr>
        <w:br w:type="textWrapping" w:clear="all"/>
      </w:r>
      <w:r>
        <w:rPr>
          <w:rFonts w:ascii="宋体" w:hAnsi="宋体" w:cs="宋体"/>
          <w:sz w:val="24"/>
          <w:szCs w:val="24"/>
        </w:rPr>
        <w:t xml:space="preserve">十八、严重脑损伤</w:t>
      </w:r>
      <w:r>
        <w:rPr>
          <w:rFonts w:ascii="宋体" w:hAnsi="宋体" w:cs="宋体"/>
          <w:sz w:val="24"/>
          <w:szCs w:val="24"/>
        </w:rPr>
        <w:br w:type="textWrapping" w:clear="all"/>
      </w:r>
      <w:r>
        <w:rPr>
          <w:rFonts w:ascii="宋体" w:hAnsi="宋体" w:cs="宋体"/>
          <w:sz w:val="24"/>
          <w:szCs w:val="24"/>
        </w:rPr>
        <w:t xml:space="preserve">　　指因头部遭受机械性外力，引起脑重要部位损伤，导致神经系统永久性的功能障碍。须由头颅断层扫描（CT）、核磁共振检查（MRI）或正电子发射断层扫描（PET）等影像学检查证实。神经系统永久性的功能障碍，指脑损伤180天后，仍遗留下列一种或一种以上障碍：</w:t>
      </w:r>
      <w:r>
        <w:rPr>
          <w:rFonts w:ascii="宋体" w:hAnsi="宋体" w:cs="宋体"/>
          <w:sz w:val="24"/>
          <w:szCs w:val="24"/>
        </w:rPr>
        <w:br w:type="textWrapping" w:clear="all"/>
      </w:r>
      <w:r>
        <w:rPr>
          <w:rFonts w:ascii="宋体" w:hAnsi="宋体" w:cs="宋体"/>
          <w:sz w:val="24"/>
          <w:szCs w:val="24"/>
        </w:rPr>
        <w:t xml:space="preserve">　　（1）一肢或一肢以上肢体机能完全丧失；</w:t>
      </w:r>
      <w:r>
        <w:rPr>
          <w:rFonts w:ascii="宋体" w:hAnsi="宋体" w:cs="宋体"/>
          <w:sz w:val="24"/>
          <w:szCs w:val="24"/>
        </w:rPr>
        <w:br w:type="textWrapping" w:clear="all"/>
      </w:r>
      <w:r>
        <w:rPr>
          <w:rFonts w:ascii="宋体" w:hAnsi="宋体" w:cs="宋体"/>
          <w:sz w:val="24"/>
          <w:szCs w:val="24"/>
        </w:rPr>
        <w:t xml:space="preserve">　　（2）语言能力或咀嚼吞咽能力完全丧失；</w:t>
      </w:r>
      <w:r>
        <w:rPr>
          <w:rFonts w:ascii="宋体" w:hAnsi="宋体" w:cs="宋体"/>
          <w:sz w:val="24"/>
          <w:szCs w:val="24"/>
        </w:rPr>
        <w:br w:type="textWrapping" w:clear="all"/>
      </w:r>
      <w:r>
        <w:rPr>
          <w:rFonts w:ascii="宋体" w:hAnsi="宋体" w:cs="宋体"/>
          <w:sz w:val="24"/>
          <w:szCs w:val="24"/>
        </w:rPr>
        <w:t xml:space="preserve">　　（3）自主生活能力完全丧失，无法独立完成六项基本日常生活活动中的三项或三项以上。</w:t>
      </w:r>
      <w:r>
        <w:rPr>
          <w:rFonts w:ascii="宋体" w:hAnsi="宋体" w:cs="宋体"/>
          <w:sz w:val="24"/>
          <w:szCs w:val="24"/>
        </w:rPr>
        <w:br w:type="textWrapping" w:clear="all"/>
      </w:r>
      <w:r>
        <w:rPr>
          <w:rFonts w:ascii="宋体" w:hAnsi="宋体" w:cs="宋体"/>
          <w:sz w:val="24"/>
          <w:szCs w:val="24"/>
        </w:rPr>
        <w:t xml:space="preserve">十九、严重帕金森病</w:t>
      </w:r>
      <w:r>
        <w:rPr>
          <w:rFonts w:ascii="宋体" w:hAnsi="宋体" w:cs="宋体"/>
          <w:sz w:val="24"/>
          <w:szCs w:val="24"/>
        </w:rPr>
        <w:br w:type="textWrapping" w:clear="all"/>
      </w:r>
      <w:r>
        <w:rPr>
          <w:rFonts w:ascii="宋体" w:hAnsi="宋体" w:cs="宋体"/>
          <w:sz w:val="24"/>
          <w:szCs w:val="24"/>
        </w:rPr>
        <w:t xml:space="preserve">　　是一种中枢神经系统的退行性疾病，临床表现为震颤麻痹、共济失调等。须满足下列全部条件：</w:t>
      </w:r>
      <w:r>
        <w:rPr>
          <w:rFonts w:ascii="宋体" w:hAnsi="宋体" w:cs="宋体"/>
          <w:sz w:val="24"/>
          <w:szCs w:val="24"/>
        </w:rPr>
        <w:br w:type="textWrapping" w:clear="all"/>
      </w:r>
      <w:r>
        <w:rPr>
          <w:rFonts w:ascii="宋体" w:hAnsi="宋体" w:cs="宋体"/>
          <w:sz w:val="24"/>
          <w:szCs w:val="24"/>
        </w:rPr>
        <w:t xml:space="preserve">　　（1）药物治疗无法控制病情；</w:t>
      </w:r>
      <w:r>
        <w:rPr>
          <w:rFonts w:ascii="宋体" w:hAnsi="宋体" w:cs="宋体"/>
          <w:sz w:val="24"/>
          <w:szCs w:val="24"/>
        </w:rPr>
        <w:br w:type="textWrapping" w:clear="all"/>
      </w:r>
      <w:r>
        <w:rPr>
          <w:rFonts w:ascii="宋体" w:hAnsi="宋体" w:cs="宋体"/>
          <w:sz w:val="24"/>
          <w:szCs w:val="24"/>
        </w:rPr>
        <w:t xml:space="preserve">　　（2）自主生活能力完全丧失，无法独立完成六项基本日常生活活动中的三项或三项以上。</w:t>
      </w:r>
      <w:r>
        <w:rPr>
          <w:rFonts w:ascii="宋体" w:hAnsi="宋体" w:cs="宋体"/>
          <w:sz w:val="24"/>
          <w:szCs w:val="24"/>
        </w:rPr>
        <w:br w:type="textWrapping" w:clear="all"/>
      </w:r>
      <w:r>
        <w:rPr>
          <w:rFonts w:ascii="宋体" w:hAnsi="宋体" w:cs="宋体"/>
          <w:sz w:val="24"/>
          <w:szCs w:val="24"/>
        </w:rPr>
        <w:t xml:space="preserve">　　继发性帕金森综合征不在保障范围内。</w:t>
      </w:r>
      <w:r>
        <w:rPr>
          <w:rFonts w:ascii="宋体" w:hAnsi="宋体" w:cs="宋体"/>
          <w:sz w:val="24"/>
          <w:szCs w:val="24"/>
        </w:rPr>
        <w:br w:type="textWrapping" w:clear="all"/>
      </w:r>
      <w:r>
        <w:rPr>
          <w:rFonts w:ascii="宋体" w:hAnsi="宋体" w:cs="宋体"/>
          <w:sz w:val="24"/>
          <w:szCs w:val="24"/>
        </w:rPr>
        <w:t xml:space="preserve">　　注：如果保险公司仅承担被保险人在某年龄之前的保障责任，须在疾病定义中特别说明。</w:t>
      </w:r>
      <w:r>
        <w:rPr>
          <w:rFonts w:ascii="宋体" w:hAnsi="宋体" w:cs="宋体"/>
          <w:sz w:val="24"/>
          <w:szCs w:val="24"/>
        </w:rPr>
        <w:br w:type="textWrapping" w:clear="all"/>
      </w:r>
      <w:r>
        <w:rPr>
          <w:rFonts w:ascii="宋体" w:hAnsi="宋体" w:cs="宋体"/>
          <w:sz w:val="24"/>
          <w:szCs w:val="24"/>
        </w:rPr>
        <w:t xml:space="preserve">二十、严重Ⅲ度烧伤</w:t>
      </w:r>
      <w:r>
        <w:rPr>
          <w:rFonts w:ascii="宋体" w:hAnsi="宋体" w:cs="宋体"/>
          <w:sz w:val="24"/>
          <w:szCs w:val="24"/>
        </w:rPr>
        <w:br w:type="textWrapping" w:clear="all"/>
      </w:r>
      <w:r>
        <w:rPr>
          <w:rFonts w:ascii="宋体" w:hAnsi="宋体" w:cs="宋体"/>
          <w:sz w:val="24"/>
          <w:szCs w:val="24"/>
        </w:rPr>
        <w:t xml:space="preserve">　　指烧伤程度为Ⅲ度，且Ⅲ度烧伤的面积达到全身体表面积的20％或20％以上。体表面积根据《中国新九分法》计算。</w:t>
      </w:r>
      <w:r>
        <w:rPr>
          <w:rFonts w:ascii="宋体" w:hAnsi="宋体" w:cs="宋体"/>
          <w:sz w:val="24"/>
          <w:szCs w:val="24"/>
        </w:rPr>
        <w:br w:type="textWrapping" w:clear="all"/>
      </w:r>
      <w:r>
        <w:rPr>
          <w:rFonts w:ascii="宋体" w:hAnsi="宋体" w:cs="宋体"/>
          <w:sz w:val="24"/>
          <w:szCs w:val="24"/>
        </w:rPr>
        <w:t xml:space="preserve">二一、严重原发性肺动脉高压</w:t>
      </w:r>
      <w:r>
        <w:rPr>
          <w:rFonts w:ascii="宋体" w:hAnsi="宋体" w:cs="宋体"/>
          <w:sz w:val="24"/>
          <w:szCs w:val="24"/>
        </w:rPr>
        <w:br w:type="textWrapping" w:clear="all"/>
      </w:r>
      <w:r>
        <w:rPr>
          <w:rFonts w:ascii="宋体" w:hAnsi="宋体" w:cs="宋体"/>
          <w:sz w:val="24"/>
          <w:szCs w:val="24"/>
        </w:rPr>
        <w:t xml:space="preserve">　　指不明原因的肺动脉压力持续性增高，进行性发展而导致的慢性疾病，已经造成永久不可逆性的体力活动能力受限，达到美国纽约心脏病学会心功能状态分级IV级，且静息状态下肺动脉平均压超过30mmHg。</w:t>
      </w:r>
      <w:r>
        <w:rPr>
          <w:rFonts w:ascii="宋体" w:hAnsi="宋体" w:cs="宋体"/>
          <w:sz w:val="24"/>
          <w:szCs w:val="24"/>
        </w:rPr>
        <w:br w:type="textWrapping" w:clear="all"/>
      </w:r>
      <w:r>
        <w:rPr>
          <w:rFonts w:ascii="宋体" w:hAnsi="宋体" w:cs="宋体"/>
          <w:sz w:val="24"/>
          <w:szCs w:val="24"/>
        </w:rPr>
        <w:t xml:space="preserve">二二、严重运动神经元病</w:t>
      </w:r>
      <w:r>
        <w:rPr>
          <w:rFonts w:ascii="宋体" w:hAnsi="宋体" w:cs="宋体"/>
          <w:sz w:val="24"/>
          <w:szCs w:val="24"/>
        </w:rPr>
        <w:br w:type="textWrapping" w:clear="all"/>
      </w:r>
      <w:r>
        <w:rPr>
          <w:rFonts w:ascii="宋体" w:hAnsi="宋体" w:cs="宋体"/>
          <w:sz w:val="24"/>
          <w:szCs w:val="24"/>
        </w:rPr>
        <w:t xml:space="preserve">　　是一组中枢神经系统运动神经元的进行性变性疾病，包括进行性脊肌萎缩症、进行性延髓麻痹症、原发性侧索硬化症、肌萎缩性侧索硬化症。须满足自主生活能力完全丧失，无法独立完成六项基本日常生活活动中的三项或三项以上的条件。</w:t>
      </w:r>
      <w:r>
        <w:rPr>
          <w:rFonts w:ascii="宋体" w:hAnsi="宋体" w:cs="宋体"/>
          <w:sz w:val="24"/>
          <w:szCs w:val="24"/>
        </w:rPr>
        <w:br w:type="textWrapping" w:clear="all"/>
      </w:r>
      <w:r>
        <w:rPr>
          <w:rFonts w:ascii="宋体" w:hAnsi="宋体" w:cs="宋体"/>
          <w:sz w:val="24"/>
          <w:szCs w:val="24"/>
        </w:rPr>
        <w:t xml:space="preserve">　　注：如果保险公司仅承担被保险人在某年龄之前的保障责任，须在疾病定义中特别说明。</w:t>
      </w:r>
      <w:r>
        <w:rPr>
          <w:rFonts w:ascii="宋体" w:hAnsi="宋体" w:cs="宋体"/>
          <w:sz w:val="24"/>
          <w:szCs w:val="24"/>
        </w:rPr>
        <w:br w:type="textWrapping" w:clear="all"/>
      </w:r>
      <w:r>
        <w:rPr>
          <w:rFonts w:ascii="宋体" w:hAnsi="宋体" w:cs="宋体"/>
          <w:sz w:val="24"/>
          <w:szCs w:val="24"/>
        </w:rPr>
        <w:t xml:space="preserve">二三、语言能力丧失</w:t>
      </w:r>
      <w:r>
        <w:rPr>
          <w:rFonts w:ascii="宋体" w:hAnsi="宋体" w:cs="宋体"/>
          <w:sz w:val="24"/>
          <w:szCs w:val="24"/>
        </w:rPr>
        <w:br w:type="textWrapping" w:clear="all"/>
      </w:r>
      <w:r>
        <w:rPr>
          <w:rFonts w:ascii="宋体" w:hAnsi="宋体" w:cs="宋体"/>
          <w:sz w:val="24"/>
          <w:szCs w:val="24"/>
        </w:rPr>
        <w:t xml:space="preserve">　　指因疾病或意外伤害导致完全丧失语言能力，经过积极治疗至少12个月（声带完全切除不受此时间限制），仍无法通过现有医疗手段恢复。</w:t>
      </w:r>
      <w:r>
        <w:rPr>
          <w:rFonts w:ascii="宋体" w:hAnsi="宋体" w:cs="宋体"/>
          <w:sz w:val="24"/>
          <w:szCs w:val="24"/>
        </w:rPr>
        <w:br w:type="textWrapping" w:clear="all"/>
      </w:r>
      <w:r>
        <w:rPr>
          <w:rFonts w:ascii="宋体" w:hAnsi="宋体" w:cs="宋体"/>
          <w:sz w:val="24"/>
          <w:szCs w:val="24"/>
        </w:rPr>
        <w:t xml:space="preserve">　　精神心理因素所致的语言能力丧失不在保障范围内。</w:t>
      </w:r>
      <w:r>
        <w:rPr>
          <w:rFonts w:ascii="宋体" w:hAnsi="宋体" w:cs="宋体"/>
          <w:sz w:val="24"/>
          <w:szCs w:val="24"/>
        </w:rPr>
        <w:br w:type="textWrapping" w:clear="all"/>
      </w:r>
      <w:r>
        <w:rPr>
          <w:rFonts w:ascii="宋体" w:hAnsi="宋体" w:cs="宋体"/>
          <w:sz w:val="24"/>
          <w:szCs w:val="24"/>
        </w:rPr>
        <w:t xml:space="preserve">　　注：如果保险公司仅承担被保险人在某年龄之后的保障责任，须在疾病定义中特别说明。</w:t>
      </w:r>
      <w:r>
        <w:rPr>
          <w:rFonts w:ascii="宋体" w:hAnsi="宋体" w:cs="宋体"/>
          <w:sz w:val="24"/>
          <w:szCs w:val="24"/>
        </w:rPr>
        <w:br w:type="textWrapping" w:clear="all"/>
      </w:r>
      <w:r>
        <w:rPr>
          <w:rFonts w:ascii="宋体" w:hAnsi="宋体" w:cs="宋体"/>
          <w:sz w:val="24"/>
          <w:szCs w:val="24"/>
        </w:rPr>
        <w:t xml:space="preserve">二四、重型再生障碍性贫血</w:t>
      </w:r>
      <w:r>
        <w:rPr>
          <w:rFonts w:ascii="宋体" w:hAnsi="宋体" w:cs="宋体"/>
          <w:sz w:val="24"/>
          <w:szCs w:val="24"/>
        </w:rPr>
        <w:br w:type="textWrapping" w:clear="all"/>
      </w:r>
      <w:r>
        <w:rPr>
          <w:rFonts w:ascii="宋体" w:hAnsi="宋体" w:cs="宋体"/>
          <w:sz w:val="24"/>
          <w:szCs w:val="24"/>
        </w:rPr>
        <w:t xml:space="preserve">　　指因骨髓造血功能慢性持续性衰竭导致的贫血、中性粒细胞减少及血小板减少。须满足下列全部条件：</w:t>
      </w:r>
      <w:r>
        <w:rPr>
          <w:rFonts w:ascii="宋体" w:hAnsi="宋体" w:cs="宋体"/>
          <w:sz w:val="24"/>
          <w:szCs w:val="24"/>
        </w:rPr>
        <w:br w:type="textWrapping" w:clear="all"/>
      </w:r>
      <w:r>
        <w:rPr>
          <w:rFonts w:ascii="宋体" w:hAnsi="宋体" w:cs="宋体"/>
          <w:sz w:val="24"/>
          <w:szCs w:val="24"/>
        </w:rPr>
        <w:t xml:space="preserve">　　（1）骨髓穿刺检查或骨髓活检结果支持诊断；</w:t>
      </w:r>
      <w:r>
        <w:rPr>
          <w:rFonts w:ascii="宋体" w:hAnsi="宋体" w:cs="宋体"/>
          <w:sz w:val="24"/>
          <w:szCs w:val="24"/>
        </w:rPr>
        <w:br w:type="textWrapping" w:clear="all"/>
      </w:r>
      <w:r>
        <w:rPr>
          <w:rFonts w:ascii="宋体" w:hAnsi="宋体" w:cs="宋体"/>
          <w:sz w:val="24"/>
          <w:szCs w:val="24"/>
        </w:rPr>
        <w:t xml:space="preserve">　　（2）外周血象须具备以下三项条件：</w:t>
      </w:r>
      <w:r>
        <w:rPr>
          <w:rFonts w:ascii="宋体" w:hAnsi="宋体" w:cs="宋体"/>
          <w:sz w:val="24"/>
          <w:szCs w:val="24"/>
        </w:rPr>
        <w:br w:type="textWrapping" w:clear="all"/>
      </w:r>
      <w:r>
        <w:rPr>
          <w:rFonts w:ascii="宋体" w:hAnsi="宋体" w:cs="宋体"/>
          <w:sz w:val="24"/>
          <w:szCs w:val="24"/>
        </w:rPr>
        <w:t xml:space="preserve">　　① 中性粒细胞绝对值≤0.5×109/L ；</w:t>
      </w:r>
      <w:r>
        <w:rPr>
          <w:rFonts w:ascii="宋体" w:hAnsi="宋体" w:cs="宋体"/>
          <w:sz w:val="24"/>
          <w:szCs w:val="24"/>
        </w:rPr>
        <w:br w:type="textWrapping" w:clear="all"/>
      </w:r>
      <w:r>
        <w:rPr>
          <w:rFonts w:ascii="宋体" w:hAnsi="宋体" w:cs="宋体"/>
          <w:sz w:val="24"/>
          <w:szCs w:val="24"/>
        </w:rPr>
        <w:t xml:space="preserve">　　② 网织红细胞＜1％；</w:t>
      </w:r>
      <w:r>
        <w:rPr>
          <w:rFonts w:ascii="宋体" w:hAnsi="宋体" w:cs="宋体"/>
          <w:sz w:val="24"/>
          <w:szCs w:val="24"/>
        </w:rPr>
        <w:br w:type="textWrapping" w:clear="all"/>
      </w:r>
      <w:r>
        <w:rPr>
          <w:rFonts w:ascii="宋体" w:hAnsi="宋体" w:cs="宋体"/>
          <w:sz w:val="24"/>
          <w:szCs w:val="24"/>
        </w:rPr>
        <w:t xml:space="preserve">　　③ 血小板绝对值≤20×109/L。</w:t>
      </w:r>
      <w:r>
        <w:rPr>
          <w:rFonts w:ascii="宋体" w:hAnsi="宋体" w:cs="宋体"/>
          <w:sz w:val="24"/>
          <w:szCs w:val="24"/>
        </w:rPr>
        <w:br w:type="textWrapping" w:clear="all"/>
      </w:r>
      <w:r>
        <w:rPr>
          <w:rFonts w:ascii="宋体" w:hAnsi="宋体" w:cs="宋体"/>
          <w:sz w:val="24"/>
          <w:szCs w:val="24"/>
        </w:rPr>
        <w:t xml:space="preserve">二五、主动脉手术</w:t>
      </w:r>
      <w:r>
        <w:rPr>
          <w:rFonts w:ascii="宋体" w:hAnsi="宋体" w:cs="宋体"/>
          <w:sz w:val="24"/>
          <w:szCs w:val="24"/>
        </w:rPr>
        <w:br w:type="textWrapping" w:clear="all"/>
      </w:r>
      <w:r>
        <w:rPr>
          <w:rFonts w:ascii="宋体" w:hAnsi="宋体" w:cs="宋体"/>
          <w:sz w:val="24"/>
          <w:szCs w:val="24"/>
        </w:rPr>
        <w:t xml:space="preserve">　　指为治疗主动脉疾病，实际实施了开胸或开腹进行的切除、置换、修补病损主动脉血管的手术。主动脉指胸主动脉和腹主动脉，不包括胸主动脉和腹主动脉的分支血管。</w:t>
      </w:r>
      <w:r>
        <w:rPr>
          <w:rFonts w:ascii="宋体" w:hAnsi="宋体" w:cs="宋体"/>
          <w:sz w:val="24"/>
          <w:szCs w:val="24"/>
        </w:rPr>
        <w:br w:type="textWrapping" w:clear="all"/>
      </w:r>
      <w:r>
        <w:rPr>
          <w:rFonts w:ascii="宋体" w:hAnsi="宋体" w:cs="宋体"/>
          <w:sz w:val="24"/>
          <w:szCs w:val="24"/>
        </w:rPr>
        <w:t xml:space="preserve">　　动脉内血管成形术不在保障范围内。</w:t>
      </w:r>
      <w:r>
        <w:rPr>
          <w:rFonts w:hint="eastAsia" w:ascii="宋体" w:hAnsi="宋体" w:cs="宋体"/>
          <w:sz w:val="24"/>
          <w:szCs w:val="24"/>
        </w:rPr>
      </w:r>
      <w:r/>
    </w:p>
    <w:p>
      <w:pPr>
        <w:pStyle w:val="797"/>
        <w:ind w:firstLine="480"/>
        <w:spacing w:line="360" w:lineRule="auto"/>
        <w:rPr>
          <w:rFonts w:hint="eastAsia" w:ascii="宋体" w:hAnsi="宋体" w:cs="仿宋_GB2312"/>
          <w:sz w:val="24"/>
          <w:szCs w:val="24"/>
        </w:rPr>
      </w:pPr>
      <w:r>
        <w:rPr>
          <w:rFonts w:hint="eastAsia" w:ascii="宋体" w:hAnsi="宋体" w:cs="仿宋_GB2312"/>
          <w:sz w:val="24"/>
          <w:szCs w:val="24"/>
        </w:rPr>
        <w:t xml:space="preserve">6、成交供应商必须建立24小时咨询受理热线，及时为投保单位提供上门办理相关保险服务。</w:t>
      </w:r>
      <w:r>
        <w:rPr>
          <w:rFonts w:hint="eastAsia" w:ascii="宋体" w:hAnsi="宋体" w:cs="仿宋_GB2312"/>
          <w:sz w:val="24"/>
          <w:szCs w:val="24"/>
        </w:rPr>
      </w:r>
      <w:r/>
    </w:p>
    <w:p>
      <w:pPr>
        <w:pStyle w:val="797"/>
        <w:ind w:firstLine="480"/>
        <w:spacing w:line="360" w:lineRule="auto"/>
        <w:rPr>
          <w:rFonts w:ascii="宋体" w:hAnsi="宋体" w:cs="仿宋_GB2312"/>
          <w:sz w:val="24"/>
          <w:szCs w:val="24"/>
        </w:rPr>
      </w:pPr>
      <w:r>
        <w:rPr>
          <w:rFonts w:hint="eastAsia" w:ascii="宋体" w:hAnsi="宋体" w:cs="仿宋_GB2312"/>
          <w:sz w:val="24"/>
          <w:szCs w:val="24"/>
        </w:rPr>
        <w:t xml:space="preserve">7、</w:t>
      </w:r>
      <w:r>
        <w:rPr>
          <w:rFonts w:hint="eastAsia" w:ascii="宋体" w:hAnsi="宋体" w:cs="仿宋"/>
          <w:sz w:val="24"/>
          <w:szCs w:val="24"/>
        </w:rPr>
        <w:t xml:space="preserve">第一批被保险人的保险费，乙方先行垫付，待甲方财政资金到位后，</w:t>
      </w:r>
      <w:r>
        <w:rPr>
          <w:rFonts w:hint="eastAsia" w:ascii="宋体" w:hAnsi="宋体"/>
          <w:sz w:val="24"/>
          <w:szCs w:val="24"/>
        </w:rPr>
        <w:t xml:space="preserve">一次性划入乙方账户，新增被保险人</w:t>
      </w:r>
      <w:r>
        <w:rPr>
          <w:rFonts w:hint="eastAsia" w:ascii="宋体" w:hAnsi="宋体" w:cs="仿宋"/>
          <w:sz w:val="24"/>
          <w:szCs w:val="24"/>
        </w:rPr>
        <w:t xml:space="preserve">保费年底统一结算</w:t>
      </w:r>
      <w:r>
        <w:rPr>
          <w:rFonts w:hint="eastAsia" w:ascii="宋体" w:hAnsi="宋体" w:cs="仿宋_GB2312"/>
          <w:sz w:val="24"/>
          <w:szCs w:val="24"/>
        </w:rPr>
        <w:t xml:space="preserve">。</w:t>
      </w:r>
      <w:r>
        <w:rPr>
          <w:rFonts w:ascii="宋体" w:hAnsi="宋体" w:cs="仿宋_GB2312"/>
          <w:sz w:val="24"/>
          <w:szCs w:val="24"/>
        </w:rPr>
      </w:r>
      <w:r/>
    </w:p>
    <w:p>
      <w:pPr>
        <w:pStyle w:val="797"/>
        <w:ind w:firstLine="480"/>
        <w:spacing w:line="360" w:lineRule="auto"/>
        <w:rPr>
          <w:rFonts w:hint="eastAsia" w:ascii="宋体" w:hAnsi="宋体" w:cs="仿宋_GB2312"/>
          <w:sz w:val="24"/>
          <w:szCs w:val="24"/>
        </w:rPr>
      </w:pPr>
      <w:r>
        <w:rPr>
          <w:rFonts w:hint="eastAsia" w:ascii="宋体" w:hAnsi="宋体" w:cs="仿宋_GB2312"/>
          <w:sz w:val="24"/>
          <w:szCs w:val="24"/>
        </w:rPr>
        <w:t xml:space="preserve">8、成交供应商设立专门机构（工作小组），专人负责，并向社会公布理赔电话和程序，建立理赔绿色通道，提供上门服务。根据合同相关要求理赔程序及所需材料极其简化，所有理赔业务优先处理，确保被保险人或其家属能够第一时间获得赔款。</w:t>
      </w:r>
      <w:r>
        <w:rPr>
          <w:rFonts w:hint="eastAsia" w:ascii="宋体" w:hAnsi="宋体" w:cs="仿宋_GB2312"/>
          <w:sz w:val="24"/>
          <w:szCs w:val="24"/>
        </w:rPr>
      </w:r>
      <w:r/>
    </w:p>
    <w:p>
      <w:pPr>
        <w:pStyle w:val="797"/>
        <w:ind w:firstLine="480"/>
        <w:spacing w:line="360" w:lineRule="auto"/>
        <w:rPr>
          <w:rFonts w:hint="eastAsia" w:ascii="宋体" w:hAnsi="宋体" w:cs="仿宋_GB2312"/>
          <w:sz w:val="24"/>
          <w:szCs w:val="24"/>
        </w:rPr>
      </w:pPr>
      <w:r>
        <w:rPr>
          <w:rFonts w:hint="eastAsia" w:ascii="宋体" w:hAnsi="宋体" w:cs="仿宋_GB2312"/>
          <w:sz w:val="24"/>
          <w:szCs w:val="24"/>
        </w:rPr>
        <w:t xml:space="preserve">9、对于虽经被保险人努力仍无法完成的证据（证明材料）提交工作，保险人须予以帮助并不得以此为由推卸、拖延甚至拒绝履行合同责任。</w:t>
      </w:r>
      <w:r>
        <w:rPr>
          <w:rFonts w:hint="eastAsia" w:ascii="宋体" w:hAnsi="宋体" w:cs="仿宋_GB2312"/>
          <w:sz w:val="24"/>
          <w:szCs w:val="24"/>
        </w:rPr>
      </w:r>
      <w:r/>
    </w:p>
    <w:p>
      <w:pPr>
        <w:pStyle w:val="797"/>
        <w:ind w:firstLine="480"/>
        <w:spacing w:line="360" w:lineRule="auto"/>
        <w:rPr>
          <w:rFonts w:hint="eastAsia" w:ascii="宋体" w:hAnsi="宋体" w:cs="仿宋_GB2312"/>
          <w:sz w:val="24"/>
          <w:szCs w:val="24"/>
        </w:rPr>
      </w:pPr>
      <w:r>
        <w:rPr>
          <w:rFonts w:hint="eastAsia" w:ascii="宋体" w:hAnsi="宋体" w:cs="仿宋_GB2312"/>
          <w:sz w:val="24"/>
          <w:szCs w:val="24"/>
        </w:rPr>
        <w:t xml:space="preserve">10、成交供应商须根据评审方法和评审标准要求提供相应的书面材料。</w:t>
      </w:r>
      <w:r>
        <w:rPr>
          <w:rFonts w:hint="eastAsia" w:ascii="宋体" w:hAnsi="宋体" w:cs="仿宋_GB2312"/>
          <w:sz w:val="24"/>
          <w:szCs w:val="24"/>
        </w:rPr>
      </w:r>
      <w:r/>
    </w:p>
    <w:p>
      <w:pPr>
        <w:pStyle w:val="797"/>
        <w:ind w:left="420"/>
        <w:spacing w:line="360" w:lineRule="auto"/>
        <w:rPr>
          <w:rFonts w:ascii="宋体" w:hAnsi="宋体" w:cs="宋体"/>
          <w:sz w:val="24"/>
          <w:szCs w:val="24"/>
        </w:rPr>
      </w:pPr>
      <w:r>
        <w:rPr>
          <w:rFonts w:ascii="宋体" w:hAnsi="宋体" w:cs="宋体"/>
          <w:sz w:val="24"/>
          <w:szCs w:val="24"/>
        </w:rPr>
      </w:r>
      <w:r/>
    </w:p>
    <w:p>
      <w:pPr>
        <w:pStyle w:val="797"/>
        <w:ind w:firstLine="520"/>
        <w:jc w:val="center"/>
        <w:spacing w:line="480" w:lineRule="exact"/>
        <w:widowControl/>
        <w:rPr>
          <w:rFonts w:hint="eastAsia" w:ascii="宋体" w:hAnsi="宋体" w:cs="宋体"/>
        </w:rPr>
      </w:pPr>
      <w:r>
        <w:rPr>
          <w:rFonts w:ascii="宋体" w:hAnsi="宋体" w:cs="宋体"/>
          <w:szCs w:val="21"/>
        </w:rPr>
        <w:br w:type="page" w:clear="all"/>
      </w:r>
      <w:bookmarkStart w:id="126" w:name="_Toc20588"/>
      <w:r>
        <w:rPr>
          <w:rFonts w:hint="eastAsia" w:ascii="宋体" w:hAnsi="宋体" w:cs="宋体"/>
          <w:sz w:val="28"/>
          <w:szCs w:val="28"/>
        </w:rPr>
        <w:t xml:space="preserve">第五章  评审方法和评审标准</w:t>
      </w:r>
      <w:bookmarkEnd w:id="126"/>
      <w:r>
        <w:rPr>
          <w:rFonts w:hint="eastAsia" w:ascii="宋体" w:hAnsi="宋体" w:cs="宋体"/>
        </w:rPr>
      </w:r>
      <w:r/>
    </w:p>
    <w:p>
      <w:pPr>
        <w:pStyle w:val="797"/>
        <w:ind w:firstLine="482"/>
        <w:spacing w:line="480" w:lineRule="auto"/>
        <w:rPr>
          <w:rFonts w:ascii="宋体" w:hAnsi="宋体" w:cs="宋体"/>
          <w:b/>
          <w:bCs/>
          <w:sz w:val="24"/>
          <w:szCs w:val="24"/>
        </w:rPr>
      </w:pPr>
      <w:r>
        <w:rPr>
          <w:rFonts w:hint="eastAsia" w:ascii="宋体" w:hAnsi="宋体" w:cs="宋体"/>
          <w:b/>
          <w:bCs/>
          <w:sz w:val="24"/>
          <w:szCs w:val="24"/>
        </w:rPr>
        <w:t xml:space="preserve">一、评审方法</w:t>
      </w:r>
      <w:r>
        <w:rPr>
          <w:rFonts w:ascii="宋体" w:hAnsi="宋体" w:cs="宋体"/>
          <w:b/>
          <w:bCs/>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rPr>
        <w:t xml:space="preserve">1、评审方法采用综合评分法，总分值为100分。</w:t>
      </w:r>
      <w:r>
        <w:rPr>
          <w:rFonts w:hint="eastAsia" w:ascii="宋体" w:hAnsi="宋体" w:cs="宋体"/>
          <w:sz w:val="24"/>
          <w:szCs w:val="24"/>
        </w:rPr>
      </w:r>
      <w:r/>
    </w:p>
    <w:p>
      <w:pPr>
        <w:pStyle w:val="797"/>
        <w:ind w:firstLine="480"/>
        <w:spacing w:line="480" w:lineRule="auto"/>
        <w:rPr>
          <w:rFonts w:hint="eastAsia" w:ascii="宋体" w:hAnsi="宋体" w:cs="宋体"/>
          <w:sz w:val="24"/>
          <w:szCs w:val="24"/>
        </w:rPr>
      </w:pPr>
      <w:r>
        <w:rPr>
          <w:rFonts w:hint="eastAsia" w:ascii="宋体" w:hAnsi="宋体" w:cs="宋体"/>
          <w:sz w:val="24"/>
          <w:szCs w:val="24"/>
        </w:rPr>
        <w:t xml:space="preserve">2、评审时，对每个合格供应商的响应文件进行评分，对评委的评分进行统计汇总，按算术平均方法计算出每个供应商的评审得分。（保留小数点后2位）</w:t>
      </w:r>
      <w:r>
        <w:rPr>
          <w:rFonts w:hint="eastAsia" w:ascii="宋体" w:hAnsi="宋体" w:cs="宋体"/>
          <w:sz w:val="24"/>
          <w:szCs w:val="24"/>
        </w:rPr>
      </w:r>
      <w:r/>
    </w:p>
    <w:p>
      <w:pPr>
        <w:pStyle w:val="797"/>
        <w:ind w:firstLine="480"/>
        <w:spacing w:line="480" w:lineRule="auto"/>
        <w:rPr>
          <w:rFonts w:hint="eastAsia" w:ascii="宋体" w:hAnsi="宋体" w:cs="宋体"/>
          <w:b/>
          <w:bCs/>
          <w:sz w:val="24"/>
          <w:szCs w:val="24"/>
        </w:rPr>
      </w:pPr>
      <w:r>
        <w:rPr>
          <w:rFonts w:hint="eastAsia" w:ascii="宋体" w:hAnsi="宋体" w:cs="宋体"/>
          <w:sz w:val="24"/>
          <w:szCs w:val="24"/>
        </w:rPr>
        <w:t xml:space="preserve">3、评审结果按评审后得分由高到低顺序排列。若综合得分相同，按商务标报价分由高到低顺序排列；若综合得分相同且商务标报价分相同，按技术标得分由高到低顺序排列。响应文件满足磋商文件全部实质性要求，且综合评分得分最高的供应商为成交供应商。</w:t>
      </w:r>
      <w:r>
        <w:rPr>
          <w:rFonts w:hint="eastAsia" w:ascii="宋体" w:hAnsi="宋体" w:cs="宋体"/>
          <w:b/>
          <w:bCs/>
          <w:sz w:val="24"/>
          <w:szCs w:val="24"/>
        </w:rPr>
      </w:r>
      <w:r/>
    </w:p>
    <w:p>
      <w:pPr>
        <w:pStyle w:val="797"/>
        <w:ind w:firstLine="422"/>
        <w:spacing w:line="480" w:lineRule="auto"/>
        <w:rPr>
          <w:rFonts w:hint="eastAsia" w:ascii="宋体" w:hAnsi="宋体" w:cs="宋体"/>
          <w:b/>
          <w:bCs/>
          <w:szCs w:val="21"/>
          <w:highlight w:val="yellow"/>
        </w:rPr>
      </w:pPr>
      <w:r>
        <w:rPr>
          <w:rFonts w:hint="eastAsia" w:ascii="宋体" w:hAnsi="宋体" w:cs="宋体"/>
          <w:b/>
          <w:bCs/>
          <w:szCs w:val="21"/>
          <w:highlight w:val="yellow"/>
        </w:rPr>
        <w:t xml:space="preserve">二、评分标准（总分100分）</w:t>
      </w:r>
      <w:r>
        <w:rPr>
          <w:rFonts w:hint="eastAsia" w:ascii="宋体" w:hAnsi="宋体" w:cs="宋体"/>
          <w:b/>
          <w:bCs/>
          <w:szCs w:val="21"/>
          <w:highlight w:val="yellow"/>
        </w:rPr>
      </w:r>
      <w:r/>
    </w:p>
    <w:tbl>
      <w:tblPr>
        <w:tblW w:w="916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5"/>
        <w:gridCol w:w="898"/>
        <w:gridCol w:w="6327"/>
        <w:gridCol w:w="947"/>
      </w:tblGrid>
      <w:tr>
        <w:trPr>
          <w:trHeight w:val="658"/>
        </w:trPr>
        <w:tc>
          <w:tcPr>
            <w:gridSpan w:val="2"/>
            <w:tcW w:w="1893" w:type="dxa"/>
            <w:vAlign w:val="center"/>
            <w:textDirection w:val="lrTb"/>
            <w:noWrap w:val="false"/>
          </w:tcPr>
          <w:p>
            <w:pPr>
              <w:pStyle w:val="79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评审</w:t>
            </w:r>
            <w:r>
              <w:rPr>
                <w:rFonts w:hint="eastAsia" w:ascii="宋体" w:hAnsi="宋体" w:eastAsia="宋体" w:cs="宋体"/>
                <w:b/>
                <w:bCs/>
                <w:sz w:val="24"/>
                <w:szCs w:val="24"/>
                <w:lang w:val="zh-CN"/>
              </w:rPr>
              <w:t xml:space="preserve">项目</w:t>
            </w:r>
            <w:r>
              <w:rPr>
                <w:rFonts w:hint="eastAsia" w:ascii="宋体" w:hAnsi="宋体" w:eastAsia="宋体" w:cs="宋体"/>
                <w:b/>
                <w:bCs/>
                <w:sz w:val="24"/>
                <w:szCs w:val="24"/>
              </w:rPr>
            </w:r>
            <w:r/>
          </w:p>
        </w:tc>
        <w:tc>
          <w:tcPr>
            <w:tcW w:w="6327" w:type="dxa"/>
            <w:vAlign w:val="center"/>
            <w:textDirection w:val="lrTb"/>
            <w:noWrap w:val="false"/>
          </w:tcPr>
          <w:p>
            <w:pPr>
              <w:pStyle w:val="79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评审细则</w:t>
            </w:r>
            <w:r>
              <w:rPr>
                <w:rFonts w:hint="eastAsia" w:ascii="宋体" w:hAnsi="宋体" w:eastAsia="宋体" w:cs="宋体"/>
                <w:b/>
                <w:bCs/>
                <w:sz w:val="24"/>
                <w:szCs w:val="24"/>
              </w:rPr>
            </w:r>
            <w:r/>
          </w:p>
        </w:tc>
        <w:tc>
          <w:tcPr>
            <w:tcW w:w="947" w:type="dxa"/>
            <w:vAlign w:val="center"/>
            <w:textDirection w:val="lrTb"/>
            <w:noWrap w:val="false"/>
          </w:tcPr>
          <w:p>
            <w:pPr>
              <w:pStyle w:val="79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1815"/>
        </w:trPr>
        <w:tc>
          <w:tcPr>
            <w:gridSpan w:val="2"/>
            <w:tcW w:w="1893"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价 格</w:t>
            </w:r>
            <w:r>
              <w:rPr>
                <w:rFonts w:hint="eastAsia" w:ascii="宋体" w:hAnsi="宋体" w:eastAsia="宋体" w:cs="宋体"/>
                <w:sz w:val="24"/>
                <w:szCs w:val="24"/>
              </w:rPr>
            </w:r>
            <w:r/>
          </w:p>
        </w:tc>
        <w:tc>
          <w:tcPr>
            <w:tcW w:w="6327" w:type="dxa"/>
            <w:vAlign w:val="center"/>
            <w:textDirection w:val="lrTb"/>
            <w:noWrap w:val="false"/>
          </w:tcPr>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价格分采用低价优先法计算，即满足采购文件要求且最后报价最低的价格为评标基准价，其价格分为满分。其他投标人的价格分别按照下列公式计算：报价得分 =（评标基准价/各供应商最后报价）×15%×100</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注：1、小微型企业价格扣除</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（1）本项目对小型和微型企业给予10%的扣除价格，用扣除后的价格参与评审。</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（2）投标人需按照采购文件的要求提供相应的《企业声明函》。</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2、残疾人福利单位价格扣除</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（1）本项目对残疾人福利性单位视同小型、微型企业，给予10%的价格扣除，用扣除后的价格参与评审。</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（2）残疾人福利性单位需按照采购文件的要求提供《残疾人福利性单位声明函》。</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（3）残疾人福利性单位标准请参照《关于促进残疾人就业政府采购政策的通知》（财库〔2017〕141号）。</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3、监狱和戒毒企业价格扣除</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（1）本项目对监狱和戒毒企业（简称监狱企业）视同小型、微型企业，给予10%的价格扣除，用扣除后的价格参与评审。</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rPr>
                <w:rFonts w:hint="eastAsia" w:ascii="宋体" w:hAnsi="宋体" w:eastAsia="宋体" w:cs="宋体"/>
                <w:sz w:val="24"/>
                <w:szCs w:val="24"/>
              </w:rPr>
            </w:r>
            <w:r/>
          </w:p>
          <w:p>
            <w:pPr>
              <w:pStyle w:val="915"/>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rPr>
                <w:rFonts w:hint="eastAsia" w:ascii="宋体" w:hAnsi="宋体" w:eastAsia="宋体" w:cs="宋体"/>
                <w:sz w:val="24"/>
                <w:szCs w:val="24"/>
              </w:rPr>
            </w:r>
            <w:r/>
          </w:p>
        </w:tc>
        <w:tc>
          <w:tcPr>
            <w:tcW w:w="947"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r>
      <w:tr>
        <w:trPr>
          <w:trHeight w:val="1432"/>
        </w:trPr>
        <w:tc>
          <w:tcPr>
            <w:tcW w:w="995" w:type="dxa"/>
            <w:vAlign w:val="center"/>
            <w:vMerge w:val="restart"/>
            <w:textDirection w:val="lrTb"/>
            <w:noWrap w:val="false"/>
          </w:tcPr>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综合</w:t>
            </w:r>
            <w:r>
              <w:rPr>
                <w:rFonts w:hint="eastAsia" w:ascii="宋体" w:hAnsi="宋体" w:eastAsia="宋体" w:cs="宋体"/>
                <w:b/>
                <w:bCs/>
                <w:sz w:val="24"/>
                <w:szCs w:val="24"/>
              </w:rPr>
            </w:r>
            <w:r/>
          </w:p>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实力</w:t>
            </w:r>
            <w:r>
              <w:rPr>
                <w:rFonts w:hint="eastAsia" w:ascii="宋体" w:hAnsi="宋体" w:eastAsia="宋体" w:cs="宋体"/>
                <w:b/>
                <w:bCs/>
                <w:sz w:val="24"/>
                <w:szCs w:val="24"/>
              </w:rPr>
            </w:r>
            <w:r/>
          </w:p>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98"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综合偿付能力充足率</w:t>
            </w:r>
            <w:r>
              <w:rPr>
                <w:rFonts w:hint="eastAsia" w:ascii="宋体" w:hAnsi="宋体" w:eastAsia="宋体" w:cs="宋体"/>
                <w:sz w:val="24"/>
                <w:szCs w:val="24"/>
              </w:rPr>
            </w:r>
            <w:r/>
          </w:p>
        </w:tc>
        <w:tc>
          <w:tcPr>
            <w:tcW w:w="6327" w:type="dxa"/>
            <w:vAlign w:val="center"/>
            <w:textDirection w:val="lrTb"/>
            <w:noWrap w:val="false"/>
          </w:tcPr>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上一年度综合偿付能力充足率高于</w:t>
            </w:r>
            <w:r>
              <w:rPr>
                <w:rFonts w:hint="eastAsia" w:ascii="宋体" w:hAnsi="宋体" w:eastAsia="宋体" w:cs="宋体"/>
                <w:color w:val="000000"/>
                <w:sz w:val="24"/>
                <w:szCs w:val="24"/>
              </w:rPr>
              <w:t xml:space="preserve">300%(含</w:t>
            </w:r>
            <w:r>
              <w:rPr>
                <w:rFonts w:hint="eastAsia" w:ascii="宋体" w:hAnsi="宋体" w:eastAsia="宋体" w:cs="宋体"/>
                <w:sz w:val="24"/>
                <w:szCs w:val="24"/>
              </w:rPr>
              <w:t xml:space="preserve">)的得15分，250%(含)—300%得12分，200%(含)—250%得9分，150%（含）-200%得6分，100%（含）-150%得3分，低于100%不得分。</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注：提供证明材料并加盖投标人公章。</w:t>
            </w:r>
            <w:r>
              <w:rPr>
                <w:rFonts w:hint="eastAsia" w:ascii="宋体" w:hAnsi="宋体" w:eastAsia="宋体" w:cs="宋体"/>
                <w:sz w:val="24"/>
                <w:szCs w:val="24"/>
              </w:rPr>
            </w:r>
            <w:r/>
          </w:p>
        </w:tc>
        <w:tc>
          <w:tcPr>
            <w:tcW w:w="947"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r>
      <w:tr>
        <w:trPr>
          <w:trHeight w:val="1092"/>
        </w:trPr>
        <w:tc>
          <w:tcPr>
            <w:tcW w:w="995" w:type="dxa"/>
            <w:vAlign w:val="center"/>
            <w:vMerge w:val="continue"/>
            <w:textDirection w:val="lrTb"/>
            <w:noWrap w:val="false"/>
          </w:tcPr>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98"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项目经验</w:t>
            </w:r>
            <w:r>
              <w:rPr>
                <w:rFonts w:hint="eastAsia" w:ascii="宋体" w:hAnsi="宋体" w:eastAsia="宋体" w:cs="宋体"/>
                <w:sz w:val="24"/>
                <w:szCs w:val="24"/>
              </w:rPr>
            </w:r>
            <w:r/>
          </w:p>
        </w:tc>
        <w:tc>
          <w:tcPr>
            <w:tcW w:w="6327" w:type="dxa"/>
            <w:vAlign w:val="center"/>
            <w:textDirection w:val="lrTb"/>
            <w:noWrap w:val="false"/>
          </w:tcPr>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20</w:t>
            </w:r>
            <w:r>
              <w:rPr>
                <w:rFonts w:hint="eastAsia" w:ascii="宋体" w:hAnsi="宋体" w:eastAsia="宋体" w:cs="宋体"/>
                <w:sz w:val="24"/>
                <w:szCs w:val="24"/>
              </w:rPr>
              <w:t xml:space="preserve">22</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1月1日</w:t>
            </w:r>
            <w:r>
              <w:rPr>
                <w:rFonts w:hint="eastAsia" w:ascii="宋体" w:hAnsi="宋体" w:eastAsia="宋体" w:cs="宋体"/>
                <w:sz w:val="24"/>
                <w:szCs w:val="24"/>
                <w:lang w:val="zh-CN"/>
              </w:rPr>
              <w:t xml:space="preserve">以来（</w:t>
            </w:r>
            <w:r>
              <w:rPr>
                <w:rFonts w:hint="eastAsia" w:ascii="宋体" w:hAnsi="宋体" w:eastAsia="宋体" w:cs="宋体"/>
                <w:sz w:val="24"/>
                <w:szCs w:val="24"/>
              </w:rPr>
              <w:t xml:space="preserve">以保险年度为准</w:t>
            </w:r>
            <w:r>
              <w:rPr>
                <w:rFonts w:hint="eastAsia" w:ascii="宋体" w:hAnsi="宋体" w:eastAsia="宋体" w:cs="宋体"/>
                <w:sz w:val="24"/>
                <w:szCs w:val="24"/>
                <w:lang w:val="zh-CN"/>
              </w:rPr>
              <w:t xml:space="preserve">），投标人有类似项目业绩的，有一个得</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分，最多得</w:t>
            </w: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分。</w:t>
            </w:r>
            <w:r>
              <w:rPr>
                <w:rFonts w:hint="eastAsia" w:ascii="宋体" w:hAnsi="宋体" w:eastAsia="宋体" w:cs="宋体"/>
                <w:sz w:val="24"/>
                <w:szCs w:val="24"/>
              </w:rPr>
              <w:t xml:space="preserve">需提供投标人的中标通知书扫描件或合同扫描件或保单扫描件，不提供不得分。</w:t>
            </w:r>
            <w:r>
              <w:rPr>
                <w:rFonts w:hint="eastAsia" w:ascii="宋体" w:hAnsi="宋体" w:eastAsia="宋体" w:cs="宋体"/>
                <w:sz w:val="24"/>
                <w:szCs w:val="24"/>
              </w:rPr>
            </w:r>
            <w:r/>
          </w:p>
        </w:tc>
        <w:tc>
          <w:tcPr>
            <w:tcW w:w="947"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r>
      <w:tr>
        <w:trPr>
          <w:trHeight w:val="1432"/>
        </w:trPr>
        <w:tc>
          <w:tcPr>
            <w:tcW w:w="995" w:type="dxa"/>
            <w:vAlign w:val="center"/>
            <w:textDirection w:val="lrTb"/>
            <w:noWrap w:val="false"/>
          </w:tcPr>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技术</w:t>
            </w:r>
            <w:r>
              <w:rPr>
                <w:rFonts w:hint="eastAsia" w:ascii="宋体" w:hAnsi="宋体" w:eastAsia="宋体" w:cs="宋体"/>
                <w:b/>
                <w:bCs/>
                <w:sz w:val="24"/>
                <w:szCs w:val="24"/>
              </w:rPr>
            </w:r>
            <w:r/>
          </w:p>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评审</w:t>
            </w:r>
            <w:r>
              <w:rPr>
                <w:rFonts w:hint="eastAsia" w:ascii="宋体" w:hAnsi="宋体" w:eastAsia="宋体" w:cs="宋体"/>
                <w:b/>
                <w:bCs/>
                <w:sz w:val="24"/>
                <w:szCs w:val="24"/>
              </w:rPr>
            </w:r>
            <w:r/>
          </w:p>
        </w:tc>
        <w:tc>
          <w:tcPr>
            <w:tcW w:w="898"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需求响应</w:t>
            </w:r>
            <w:r>
              <w:rPr>
                <w:rFonts w:hint="eastAsia" w:ascii="宋体" w:hAnsi="宋体" w:eastAsia="宋体" w:cs="宋体"/>
                <w:sz w:val="24"/>
                <w:szCs w:val="24"/>
              </w:rPr>
            </w:r>
            <w:r/>
          </w:p>
        </w:tc>
        <w:tc>
          <w:tcPr>
            <w:tcW w:w="6327" w:type="dxa"/>
            <w:vAlign w:val="center"/>
            <w:textDirection w:val="lrTb"/>
            <w:noWrap w:val="false"/>
          </w:tcPr>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1.合同条款接受情况(20分)：对于保险合同所列款项全部接受的为20分，有一项不接受扣2分，扣完20分为止。                                                       </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2.其他额外优惠措施 (12分) ：保险公司提供了额外优惠措施，并具有可操作性的，每增加一项得2分，最高得12分。</w:t>
            </w:r>
            <w:r>
              <w:rPr>
                <w:rFonts w:hint="eastAsia" w:ascii="宋体" w:hAnsi="宋体" w:eastAsia="宋体" w:cs="宋体"/>
                <w:sz w:val="24"/>
                <w:szCs w:val="24"/>
              </w:rPr>
            </w:r>
            <w:r/>
          </w:p>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3.没有任何特殊限制条件得3分：保险公司对采购保险方案增加了限制性条件，则根据该条件的严重程度扣减，最高可扣分值为3分。 </w:t>
            </w:r>
            <w:r>
              <w:rPr>
                <w:rFonts w:hint="eastAsia" w:ascii="宋体" w:hAnsi="宋体" w:eastAsia="宋体" w:cs="宋体"/>
                <w:sz w:val="24"/>
                <w:szCs w:val="24"/>
              </w:rPr>
            </w:r>
            <w:r/>
          </w:p>
        </w:tc>
        <w:tc>
          <w:tcPr>
            <w:tcW w:w="947"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r>
            <w:r/>
          </w:p>
        </w:tc>
      </w:tr>
      <w:tr>
        <w:trPr>
          <w:trHeight w:val="1115"/>
        </w:trPr>
        <w:tc>
          <w:tcPr>
            <w:tcW w:w="995" w:type="dxa"/>
            <w:vAlign w:val="center"/>
            <w:vMerge w:val="restart"/>
            <w:textDirection w:val="lrTb"/>
            <w:noWrap w:val="false"/>
          </w:tcPr>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服务能力</w:t>
            </w:r>
            <w:r>
              <w:rPr>
                <w:rFonts w:hint="eastAsia" w:ascii="宋体" w:hAnsi="宋体" w:eastAsia="宋体" w:cs="宋体"/>
                <w:b/>
                <w:bCs/>
                <w:sz w:val="24"/>
                <w:szCs w:val="24"/>
              </w:rPr>
            </w:r>
            <w:r/>
          </w:p>
        </w:tc>
        <w:tc>
          <w:tcPr>
            <w:tcW w:w="898"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服务机构</w:t>
            </w:r>
            <w:r>
              <w:rPr>
                <w:rFonts w:hint="eastAsia" w:ascii="宋体" w:hAnsi="宋体" w:eastAsia="宋体" w:cs="宋体"/>
                <w:sz w:val="24"/>
                <w:szCs w:val="24"/>
              </w:rPr>
            </w:r>
            <w:r/>
          </w:p>
        </w:tc>
        <w:tc>
          <w:tcPr>
            <w:tcW w:w="6327" w:type="dxa"/>
            <w:vAlign w:val="center"/>
            <w:textDirection w:val="lrTb"/>
            <w:noWrap w:val="false"/>
          </w:tcPr>
          <w:p>
            <w:pPr>
              <w:pStyle w:val="797"/>
              <w:ind w:firstLine="48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lang w:val="en-US" w:eastAsia="zh-CN"/>
              </w:rPr>
              <w:t xml:space="preserve">供应商能够提供快捷服务支持，具备快速理赔的能力，承诺中标后</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val="en-US" w:eastAsia="zh-CN"/>
              </w:rPr>
              <w:t xml:space="preserve">项目服务范围内成立专门</w:t>
            </w:r>
            <w:r>
              <w:rPr>
                <w:rFonts w:hint="eastAsia" w:ascii="宋体" w:hAnsi="宋体" w:eastAsia="宋体" w:cs="宋体"/>
                <w:color w:val="000000"/>
                <w:sz w:val="24"/>
                <w:szCs w:val="24"/>
              </w:rPr>
              <w:t xml:space="preserve">服务小组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保证理赔时效性、便捷性</w:t>
            </w:r>
            <w:r>
              <w:rPr>
                <w:rFonts w:hint="eastAsia" w:ascii="宋体" w:hAnsi="宋体" w:eastAsia="宋体" w:cs="宋体"/>
                <w:color w:val="000000"/>
                <w:sz w:val="24"/>
                <w:szCs w:val="24"/>
              </w:rPr>
              <w:t xml:space="preserve">的得6分。</w:t>
            </w:r>
            <w:r>
              <w:rPr>
                <w:rFonts w:hint="eastAsia" w:ascii="宋体" w:hAnsi="宋体" w:eastAsia="宋体" w:cs="宋体"/>
                <w:color w:val="ff0000"/>
                <w:sz w:val="24"/>
                <w:szCs w:val="24"/>
              </w:rPr>
            </w:r>
            <w:r/>
          </w:p>
        </w:tc>
        <w:tc>
          <w:tcPr>
            <w:tcW w:w="947"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rHeight w:val="1642"/>
        </w:trPr>
        <w:tc>
          <w:tcPr>
            <w:tcW w:w="995" w:type="dxa"/>
            <w:vAlign w:val="center"/>
            <w:vMerge w:val="continue"/>
            <w:textDirection w:val="lrTb"/>
            <w:noWrap w:val="false"/>
          </w:tcPr>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98"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服务人员到位情况</w:t>
            </w:r>
            <w:r>
              <w:rPr>
                <w:rFonts w:hint="eastAsia" w:ascii="宋体" w:hAnsi="宋体" w:eastAsia="宋体" w:cs="宋体"/>
                <w:sz w:val="24"/>
                <w:szCs w:val="24"/>
              </w:rPr>
            </w:r>
            <w:r/>
          </w:p>
        </w:tc>
        <w:tc>
          <w:tcPr>
            <w:tcW w:w="6327" w:type="dxa"/>
            <w:vAlign w:val="center"/>
            <w:textDirection w:val="lrTb"/>
            <w:noWrap w:val="false"/>
          </w:tcPr>
          <w:p>
            <w:pPr>
              <w:pStyle w:val="797"/>
              <w:ind w:firstLine="48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val="en-US" w:eastAsia="zh-CN"/>
              </w:rPr>
              <w:t xml:space="preserve">项目服务范围内</w:t>
            </w:r>
            <w:r>
              <w:rPr>
                <w:rFonts w:hint="eastAsia" w:ascii="宋体" w:hAnsi="宋体" w:eastAsia="宋体" w:cs="宋体"/>
                <w:color w:val="000000"/>
                <w:sz w:val="24"/>
                <w:szCs w:val="24"/>
              </w:rPr>
              <w:t xml:space="preserve">全部配备专人服务，公布服务人员的联系电话，本项得分为满分（3分），如服务人员配备不全，则每少一个区域扣减1.5分。</w:t>
            </w:r>
            <w:r>
              <w:rPr>
                <w:rFonts w:hint="eastAsia" w:ascii="宋体" w:hAnsi="宋体" w:eastAsia="宋体" w:cs="宋体"/>
                <w:color w:val="ff0000"/>
                <w:sz w:val="24"/>
                <w:szCs w:val="24"/>
              </w:rPr>
            </w:r>
            <w:r/>
          </w:p>
        </w:tc>
        <w:tc>
          <w:tcPr>
            <w:tcW w:w="947"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r>
      <w:tr>
        <w:trPr>
          <w:trHeight w:val="90"/>
        </w:trPr>
        <w:tc>
          <w:tcPr>
            <w:tcW w:w="995" w:type="dxa"/>
            <w:vAlign w:val="center"/>
            <w:vMerge w:val="continue"/>
            <w:textDirection w:val="lrTb"/>
            <w:noWrap w:val="false"/>
          </w:tcPr>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98"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tc>
        <w:tc>
          <w:tcPr>
            <w:tcW w:w="6327" w:type="dxa"/>
            <w:vAlign w:val="center"/>
            <w:textDirection w:val="lrTb"/>
            <w:noWrap w:val="false"/>
          </w:tcPr>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方案可行性、实用性情况评比，如服务队伍配置情况、尤其是熟悉医疗政策的专业人士配备情况，服务人员的培训制度，服务频次，赔付流程等。服务方案全面可行性强的得12分；服务方案较全面，可行性较强的得8分；服务方案一般，可行性不强的得4分，没有不得分。</w:t>
            </w:r>
            <w:r>
              <w:rPr>
                <w:rFonts w:hint="eastAsia" w:ascii="宋体" w:hAnsi="宋体" w:eastAsia="宋体" w:cs="宋体"/>
                <w:sz w:val="24"/>
                <w:szCs w:val="24"/>
              </w:rPr>
            </w:r>
            <w:r/>
          </w:p>
        </w:tc>
        <w:tc>
          <w:tcPr>
            <w:tcW w:w="947"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r>
      <w:tr>
        <w:trPr>
          <w:trHeight w:val="90"/>
        </w:trPr>
        <w:tc>
          <w:tcPr>
            <w:tcW w:w="995" w:type="dxa"/>
            <w:vAlign w:val="center"/>
            <w:vMerge w:val="continue"/>
            <w:textDirection w:val="lrTb"/>
            <w:noWrap w:val="false"/>
          </w:tcPr>
          <w:p>
            <w:pPr>
              <w:pStyle w:val="79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98"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管理制度</w:t>
            </w:r>
            <w:r>
              <w:rPr>
                <w:rFonts w:hint="eastAsia" w:ascii="宋体" w:hAnsi="宋体" w:eastAsia="宋体" w:cs="宋体"/>
                <w:sz w:val="24"/>
                <w:szCs w:val="24"/>
              </w:rPr>
            </w:r>
            <w:r/>
          </w:p>
        </w:tc>
        <w:tc>
          <w:tcPr>
            <w:tcW w:w="6327" w:type="dxa"/>
            <w:vAlign w:val="center"/>
            <w:textDirection w:val="lrTb"/>
            <w:noWrap w:val="false"/>
          </w:tcPr>
          <w:p>
            <w:pPr>
              <w:pStyle w:val="79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已建立人员考核管理制度的得2分，未建立的不得分；已建立有关业务内控及稽核监督制度的得2分，未建立的不得分；建立与采购方实现信息共享制度的得1分，未建立的不得分。</w:t>
            </w:r>
            <w:r>
              <w:rPr>
                <w:rFonts w:hint="eastAsia" w:ascii="宋体" w:hAnsi="宋体" w:eastAsia="宋体" w:cs="宋体"/>
                <w:sz w:val="24"/>
                <w:szCs w:val="24"/>
              </w:rPr>
            </w:r>
            <w:r/>
          </w:p>
        </w:tc>
        <w:tc>
          <w:tcPr>
            <w:tcW w:w="947"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bl>
    <w:p>
      <w:pPr>
        <w:pStyle w:val="797"/>
        <w:ind w:firstLine="422"/>
        <w:spacing w:line="360" w:lineRule="auto"/>
        <w:rPr>
          <w:rFonts w:hint="eastAsia" w:ascii="宋体" w:hAnsi="宋体" w:cs="宋体"/>
          <w:b/>
          <w:bCs/>
          <w:szCs w:val="21"/>
        </w:rPr>
      </w:pPr>
      <w:r>
        <w:rPr>
          <w:rFonts w:hint="eastAsia" w:ascii="宋体" w:hAnsi="宋体" w:cs="宋体"/>
          <w:b/>
          <w:bCs/>
          <w:szCs w:val="21"/>
        </w:rPr>
      </w:r>
      <w:r/>
    </w:p>
    <w:p>
      <w:pPr>
        <w:pStyle w:val="812"/>
        <w:ind w:firstLine="0"/>
        <w:rPr>
          <w:rFonts w:hint="eastAsia"/>
        </w:rPr>
      </w:pPr>
      <w:r>
        <w:rPr>
          <w:rFonts w:hint="eastAsia"/>
        </w:rPr>
      </w:r>
      <w:r/>
    </w:p>
    <w:p>
      <w:pPr>
        <w:pStyle w:val="798"/>
        <w:jc w:val="center"/>
        <w:tabs>
          <w:tab w:val="left" w:pos="420" w:leader="none"/>
        </w:tabs>
        <w:rPr>
          <w:rFonts w:hint="eastAsia" w:ascii="宋体" w:hAnsi="宋体" w:cs="宋体"/>
          <w:sz w:val="24"/>
          <w:szCs w:val="24"/>
        </w:rPr>
      </w:pPr>
      <w:r>
        <w:rPr>
          <w:rFonts w:ascii="宋体" w:hAnsi="宋体" w:cs="宋体"/>
        </w:rPr>
        <w:br w:type="page" w:clear="all"/>
      </w:r>
      <w:bookmarkStart w:id="127" w:name="_Toc16471"/>
      <w:r>
        <w:rPr>
          <w:rFonts w:hint="eastAsia" w:ascii="宋体" w:hAnsi="宋体" w:cs="宋体"/>
          <w:sz w:val="24"/>
          <w:szCs w:val="24"/>
        </w:rPr>
        <w:t xml:space="preserve">第六章  响应文件的组成和格式</w:t>
      </w:r>
      <w:bookmarkEnd w:id="127"/>
      <w:r>
        <w:rPr>
          <w:rFonts w:hint="eastAsia" w:ascii="宋体" w:hAnsi="宋体" w:cs="宋体"/>
          <w:sz w:val="24"/>
          <w:szCs w:val="24"/>
        </w:rPr>
      </w:r>
      <w:r/>
    </w:p>
    <w:p>
      <w:pPr>
        <w:pStyle w:val="797"/>
        <w:jc w:val="center"/>
        <w:spacing w:line="360" w:lineRule="auto"/>
        <w:rPr>
          <w:rFonts w:hint="eastAsia" w:ascii="宋体" w:hAnsi="宋体" w:cs="宋体"/>
          <w:b/>
          <w:sz w:val="24"/>
          <w:szCs w:val="24"/>
        </w:rPr>
      </w:pPr>
      <w:r>
        <w:rPr>
          <w:rFonts w:hint="eastAsia" w:ascii="宋体" w:hAnsi="宋体" w:cs="宋体"/>
          <w:b/>
          <w:sz w:val="24"/>
          <w:szCs w:val="24"/>
        </w:rPr>
      </w:r>
      <w:r/>
    </w:p>
    <w:p>
      <w:pPr>
        <w:pStyle w:val="797"/>
        <w:jc w:val="center"/>
        <w:spacing w:line="360" w:lineRule="auto"/>
        <w:rPr>
          <w:rFonts w:hint="eastAsia" w:ascii="宋体" w:hAnsi="宋体" w:cs="宋体"/>
          <w:b/>
          <w:sz w:val="24"/>
          <w:szCs w:val="24"/>
        </w:rPr>
        <w:outlineLvl w:val="0"/>
      </w:pPr>
      <w:r/>
      <w:bookmarkStart w:id="128" w:name="_Toc2523"/>
      <w:r/>
      <w:bookmarkStart w:id="129" w:name="_Toc7183"/>
      <w:r>
        <w:rPr>
          <w:rFonts w:hint="eastAsia" w:ascii="宋体" w:hAnsi="宋体" w:cs="宋体"/>
          <w:b/>
          <w:sz w:val="24"/>
          <w:szCs w:val="24"/>
        </w:rPr>
        <w:t xml:space="preserve">响应文件</w:t>
      </w:r>
      <w:bookmarkEnd w:id="128"/>
      <w:r/>
      <w:bookmarkEnd w:id="129"/>
      <w:r>
        <w:rPr>
          <w:rFonts w:hint="eastAsia" w:ascii="宋体" w:hAnsi="宋体" w:cs="宋体"/>
          <w:b/>
          <w:sz w:val="24"/>
          <w:szCs w:val="24"/>
        </w:rPr>
      </w:r>
      <w:r/>
    </w:p>
    <w:p>
      <w:pPr>
        <w:pStyle w:val="851"/>
        <w:ind w:firstLine="0"/>
        <w:jc w:val="center"/>
        <w:spacing w:before="0" w:after="0"/>
        <w:rPr>
          <w:rFonts w:hint="eastAsia" w:ascii="宋体" w:hAnsi="宋体" w:cs="宋体"/>
          <w:b/>
          <w:bCs/>
          <w:szCs w:val="24"/>
        </w:rPr>
      </w:pPr>
      <w:r>
        <w:rPr>
          <w:rFonts w:hint="eastAsia" w:ascii="宋体" w:hAnsi="宋体" w:cs="宋体"/>
          <w:b/>
          <w:bCs/>
          <w:szCs w:val="24"/>
        </w:rPr>
      </w:r>
      <w:r/>
    </w:p>
    <w:p>
      <w:pPr>
        <w:pStyle w:val="797"/>
        <w:ind w:firstLine="723"/>
        <w:spacing w:line="360" w:lineRule="auto"/>
        <w:rPr>
          <w:rFonts w:hint="eastAsia" w:ascii="宋体" w:hAnsi="宋体" w:cs="宋体"/>
          <w:b/>
          <w:sz w:val="24"/>
          <w:szCs w:val="24"/>
        </w:rPr>
      </w:pPr>
      <w:r>
        <w:rPr>
          <w:rFonts w:hint="eastAsia" w:ascii="宋体" w:hAnsi="宋体" w:cs="宋体"/>
          <w:b/>
          <w:sz w:val="24"/>
          <w:szCs w:val="24"/>
        </w:rPr>
      </w:r>
      <w:r/>
    </w:p>
    <w:p>
      <w:pPr>
        <w:pStyle w:val="797"/>
        <w:ind w:firstLine="723"/>
        <w:spacing w:line="360" w:lineRule="auto"/>
        <w:rPr>
          <w:rFonts w:hint="eastAsia" w:ascii="宋体" w:hAnsi="宋体" w:cs="宋体"/>
          <w:b/>
          <w:sz w:val="24"/>
          <w:szCs w:val="24"/>
        </w:rPr>
      </w:pPr>
      <w:r>
        <w:rPr>
          <w:rFonts w:hint="eastAsia" w:ascii="宋体" w:hAnsi="宋体" w:cs="宋体"/>
          <w:b/>
          <w:sz w:val="24"/>
          <w:szCs w:val="24"/>
        </w:rPr>
      </w:r>
      <w:r/>
    </w:p>
    <w:p>
      <w:pPr>
        <w:pStyle w:val="812"/>
        <w:ind w:firstLine="1205"/>
        <w:spacing w:line="360" w:lineRule="auto"/>
        <w:rPr>
          <w:rFonts w:hint="eastAsia" w:ascii="宋体" w:hAnsi="宋体" w:cs="宋体"/>
          <w:b/>
          <w:sz w:val="24"/>
          <w:szCs w:val="24"/>
        </w:rPr>
      </w:pPr>
      <w:r/>
      <w:bookmarkEnd w:id="121"/>
      <w:r/>
      <w:bookmarkEnd w:id="122"/>
      <w:r/>
      <w:bookmarkEnd w:id="123"/>
      <w:r/>
      <w:bookmarkStart w:id="130" w:name="_Toc456102499"/>
      <w:r/>
      <w:bookmarkStart w:id="131" w:name="_Toc456102122"/>
      <w:r/>
      <w:bookmarkStart w:id="132" w:name="_Toc456102676"/>
      <w:r/>
      <w:bookmarkStart w:id="133" w:name="_Toc337816640"/>
      <w:r>
        <w:rPr>
          <w:rFonts w:hint="eastAsia" w:ascii="宋体" w:hAnsi="宋体" w:cs="宋体"/>
          <w:b/>
          <w:sz w:val="24"/>
          <w:szCs w:val="24"/>
        </w:rPr>
        <w:t xml:space="preserve">项 目 名 称：              </w:t>
      </w: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t xml:space="preserve">          项 目 编 号：              </w:t>
      </w: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t xml:space="preserve">       供应商名称 ：（加盖CA电子公章）</w:t>
      </w: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t xml:space="preserve">      日   期 ：              </w:t>
      </w: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812"/>
        <w:ind w:firstLine="0"/>
        <w:spacing w:line="360" w:lineRule="auto"/>
        <w:rPr>
          <w:rFonts w:hint="eastAsia" w:ascii="宋体" w:hAnsi="宋体" w:cs="宋体"/>
          <w:b/>
          <w:sz w:val="24"/>
          <w:szCs w:val="24"/>
        </w:rPr>
      </w:pPr>
      <w:r>
        <w:rPr>
          <w:rFonts w:hint="eastAsia" w:ascii="宋体" w:hAnsi="宋体" w:cs="宋体"/>
          <w:b/>
          <w:sz w:val="24"/>
          <w:szCs w:val="24"/>
        </w:rPr>
      </w:r>
      <w:r/>
    </w:p>
    <w:p>
      <w:pPr>
        <w:pStyle w:val="799"/>
        <w:jc w:val="center"/>
        <w:tabs>
          <w:tab w:val="left" w:pos="0" w:leader="none"/>
          <w:tab w:val="left" w:pos="420" w:leader="none"/>
          <w:tab w:val="left" w:pos="560" w:leader="none"/>
        </w:tabs>
        <w:rPr>
          <w:rFonts w:hint="eastAsia" w:ascii="宋体" w:hAnsi="宋体" w:eastAsia="宋体" w:cs="宋体"/>
          <w:b w:val="0"/>
          <w:sz w:val="24"/>
          <w:szCs w:val="24"/>
        </w:rPr>
      </w:pPr>
      <w:r/>
      <w:bookmarkEnd w:id="130"/>
      <w:r/>
      <w:bookmarkEnd w:id="131"/>
      <w:r/>
      <w:bookmarkEnd w:id="132"/>
      <w:r/>
      <w:bookmarkEnd w:id="133"/>
      <w:r/>
      <w:bookmarkStart w:id="134" w:name="_Toc4604"/>
      <w:r>
        <w:rPr>
          <w:rFonts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磋商响应函（格式）</w:t>
      </w:r>
      <w:bookmarkEnd w:id="134"/>
      <w:r>
        <w:rPr>
          <w:rFonts w:hint="eastAsia" w:ascii="宋体" w:hAnsi="宋体" w:eastAsia="宋体" w:cs="宋体"/>
          <w:b w:val="0"/>
          <w:sz w:val="24"/>
          <w:szCs w:val="24"/>
        </w:rPr>
      </w:r>
      <w:r/>
    </w:p>
    <w:p>
      <w:pPr>
        <w:pStyle w:val="797"/>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7"/>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致</w:t>
      </w:r>
      <w:r>
        <w:rPr>
          <w:rFonts w:hint="eastAsia" w:ascii="宋体" w:hAnsi="宋体" w:eastAsia="宋体" w:cs="宋体"/>
          <w:b/>
          <w:bCs/>
          <w:sz w:val="24"/>
          <w:szCs w:val="24"/>
          <w:u w:val="single"/>
        </w:rPr>
        <w:t xml:space="preserve">（采购人）</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797"/>
        <w:ind w:firstLine="480"/>
        <w:jc w:val="left"/>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rPr>
        <w:t xml:space="preserve">根据贵方为</w:t>
      </w:r>
      <w:r>
        <w:rPr>
          <w:rFonts w:hint="eastAsia" w:ascii="宋体" w:hAnsi="宋体" w:eastAsia="宋体" w:cs="宋体"/>
          <w:sz w:val="24"/>
          <w:szCs w:val="24"/>
          <w:u w:val="single"/>
        </w:rPr>
        <w:t xml:space="preserve">（项目名称）（</w:t>
      </w:r>
      <w:r>
        <w:rPr>
          <w:rFonts w:hint="eastAsia" w:ascii="宋体" w:hAnsi="宋体" w:eastAsia="宋体" w:cs="宋体"/>
          <w:sz w:val="24"/>
          <w:szCs w:val="24"/>
          <w:lang w:val="zh-CN"/>
        </w:rPr>
        <w:t xml:space="preserve">项目编号为：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号）磋商文件，正式授权下述签字人______________(姓名和职务)代表我方______________（</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的名称），全权处理本次项目</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的有关事宜。</w:t>
      </w:r>
      <w:r>
        <w:rPr>
          <w:rFonts w:hint="eastAsia" w:ascii="宋体" w:hAnsi="宋体" w:eastAsia="宋体" w:cs="宋体"/>
          <w:sz w:val="24"/>
          <w:szCs w:val="24"/>
          <w:lang w:val="zh-CN"/>
        </w:rPr>
      </w:r>
      <w:r/>
    </w:p>
    <w:p>
      <w:pPr>
        <w:pStyle w:val="797"/>
        <w:ind w:firstLine="480"/>
        <w:jc w:val="left"/>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rPr>
        <w:t xml:space="preserve">据此函，签字代表宣布同意如下：</w:t>
      </w:r>
      <w:r>
        <w:rPr>
          <w:rFonts w:hint="eastAsia" w:ascii="宋体" w:hAnsi="宋体" w:eastAsia="宋体" w:cs="宋体"/>
          <w:sz w:val="24"/>
          <w:szCs w:val="24"/>
          <w:lang w:val="zh-CN"/>
        </w:rPr>
      </w:r>
      <w:r/>
    </w:p>
    <w:p>
      <w:pPr>
        <w:pStyle w:val="797"/>
        <w:ind w:firstLine="480"/>
        <w:jc w:val="left"/>
        <w:spacing w:line="360" w:lineRule="auto"/>
        <w:tabs>
          <w:tab w:val="left" w:pos="980" w:leader="none"/>
        </w:tabs>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）按磋商文件规定的各项要求，向</w:t>
      </w:r>
      <w:r>
        <w:rPr>
          <w:rFonts w:hint="eastAsia" w:ascii="宋体" w:hAnsi="宋体" w:eastAsia="宋体" w:cs="宋体"/>
          <w:sz w:val="24"/>
          <w:szCs w:val="24"/>
          <w:u w:val="single"/>
          <w:lang w:val="zh-CN"/>
        </w:rPr>
        <w:t xml:space="preserve">采购单位名称</w:t>
      </w:r>
      <w:r>
        <w:rPr>
          <w:rFonts w:hint="eastAsia" w:ascii="宋体" w:hAnsi="宋体" w:eastAsia="宋体" w:cs="宋体"/>
          <w:sz w:val="24"/>
          <w:szCs w:val="24"/>
          <w:lang w:val="zh-CN"/>
        </w:rPr>
        <w:t xml:space="preserve">提供所需服务，</w:t>
      </w:r>
      <w:r>
        <w:rPr>
          <w:rFonts w:hint="eastAsia" w:ascii="宋体" w:hAnsi="宋体" w:eastAsia="宋体" w:cs="宋体"/>
          <w:sz w:val="24"/>
          <w:szCs w:val="24"/>
        </w:rPr>
        <w:t xml:space="preserve">单人次报价为人民币</w:t>
      </w:r>
      <w:r>
        <w:rPr>
          <w:rFonts w:hint="eastAsia" w:ascii="宋体" w:hAnsi="宋体" w:eastAsia="宋体" w:cs="宋体"/>
          <w:sz w:val="24"/>
          <w:szCs w:val="24"/>
          <w:lang w:val="zh-CN"/>
        </w:rPr>
        <w:t xml:space="preserve">_______元。</w:t>
      </w:r>
      <w:r>
        <w:rPr>
          <w:rFonts w:hint="eastAsia" w:ascii="宋体" w:hAnsi="宋体" w:eastAsia="宋体" w:cs="宋体"/>
          <w:sz w:val="24"/>
          <w:szCs w:val="24"/>
        </w:rPr>
      </w:r>
      <w:r/>
    </w:p>
    <w:p>
      <w:pPr>
        <w:pStyle w:val="797"/>
        <w:ind w:firstLine="480"/>
        <w:jc w:val="left"/>
        <w:spacing w:line="360" w:lineRule="auto"/>
        <w:tabs>
          <w:tab w:val="left" w:pos="98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（2）我们完全理解贵方不一定将合同授予最低报价的</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97"/>
        <w:ind w:firstLine="480"/>
        <w:jc w:val="left"/>
        <w:spacing w:line="360" w:lineRule="auto"/>
        <w:tabs>
          <w:tab w:val="left" w:pos="98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（3）我们已详细审核全部磋商文件及其有效补充文件，我们知道必须放弃提出含糊不清或误解问题的权利。</w:t>
      </w:r>
      <w:r>
        <w:rPr>
          <w:rFonts w:hint="eastAsia" w:ascii="宋体" w:hAnsi="宋体" w:eastAsia="宋体" w:cs="宋体"/>
          <w:sz w:val="24"/>
          <w:szCs w:val="24"/>
          <w:lang w:val="zh-CN"/>
        </w:rPr>
      </w:r>
      <w:r/>
    </w:p>
    <w:p>
      <w:pPr>
        <w:pStyle w:val="797"/>
        <w:ind w:firstLine="480"/>
        <w:jc w:val="left"/>
        <w:spacing w:line="360" w:lineRule="auto"/>
        <w:tabs>
          <w:tab w:val="left" w:pos="98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（4）我们同意从规定的</w:t>
      </w:r>
      <w:r>
        <w:rPr>
          <w:rFonts w:hint="eastAsia" w:ascii="宋体" w:hAnsi="宋体" w:eastAsia="宋体" w:cs="宋体"/>
          <w:sz w:val="24"/>
          <w:szCs w:val="24"/>
        </w:rPr>
        <w:t xml:space="preserve">响应文件开启之</w:t>
      </w:r>
      <w:r>
        <w:rPr>
          <w:rFonts w:hint="eastAsia" w:ascii="宋体" w:hAnsi="宋体" w:eastAsia="宋体" w:cs="宋体"/>
          <w:sz w:val="24"/>
          <w:szCs w:val="24"/>
          <w:lang w:val="zh-CN"/>
        </w:rPr>
        <w:t xml:space="preserve">日起遵循本</w:t>
      </w:r>
      <w:r>
        <w:rPr>
          <w:rFonts w:hint="eastAsia" w:ascii="宋体" w:hAnsi="宋体" w:eastAsia="宋体" w:cs="宋体"/>
          <w:sz w:val="24"/>
          <w:szCs w:val="24"/>
        </w:rPr>
        <w:t xml:space="preserve">响应</w:t>
      </w:r>
      <w:r>
        <w:rPr>
          <w:rFonts w:hint="eastAsia" w:ascii="宋体" w:hAnsi="宋体" w:eastAsia="宋体" w:cs="宋体"/>
          <w:sz w:val="24"/>
          <w:szCs w:val="24"/>
          <w:lang w:val="zh-CN"/>
        </w:rPr>
        <w:t xml:space="preserve">文件，并在规定的有效期期满之前均具有约束力。</w:t>
      </w:r>
      <w:r>
        <w:rPr>
          <w:rFonts w:hint="eastAsia" w:ascii="宋体" w:hAnsi="宋体" w:eastAsia="宋体" w:cs="宋体"/>
          <w:sz w:val="24"/>
          <w:szCs w:val="24"/>
          <w:lang w:val="zh-CN"/>
        </w:rPr>
      </w:r>
      <w:r/>
    </w:p>
    <w:p>
      <w:pPr>
        <w:pStyle w:val="797"/>
        <w:ind w:firstLine="480"/>
        <w:jc w:val="left"/>
        <w:spacing w:line="360" w:lineRule="auto"/>
        <w:tabs>
          <w:tab w:val="left" w:pos="98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（5）如果在</w:t>
      </w:r>
      <w:r>
        <w:rPr>
          <w:rFonts w:hint="eastAsia" w:ascii="宋体" w:hAnsi="宋体" w:eastAsia="宋体" w:cs="宋体"/>
          <w:sz w:val="24"/>
          <w:szCs w:val="24"/>
        </w:rPr>
        <w:t xml:space="preserve">响应文件开启</w:t>
      </w:r>
      <w:r>
        <w:rPr>
          <w:rFonts w:hint="eastAsia" w:ascii="宋体" w:hAnsi="宋体" w:eastAsia="宋体" w:cs="宋体"/>
          <w:sz w:val="24"/>
          <w:szCs w:val="24"/>
          <w:lang w:val="zh-CN"/>
        </w:rPr>
        <w:t xml:space="preserve">后规定的有效期内撤回</w:t>
      </w:r>
      <w:r>
        <w:rPr>
          <w:rFonts w:hint="eastAsia" w:ascii="宋体" w:hAnsi="宋体" w:eastAsia="宋体" w:cs="宋体"/>
          <w:sz w:val="24"/>
          <w:szCs w:val="24"/>
        </w:rPr>
        <w:t xml:space="preserve">响应文件</w:t>
      </w:r>
      <w:r>
        <w:rPr>
          <w:rFonts w:hint="eastAsia" w:ascii="宋体" w:hAnsi="宋体" w:eastAsia="宋体" w:cs="宋体"/>
          <w:sz w:val="24"/>
          <w:szCs w:val="24"/>
          <w:lang w:val="zh-CN"/>
        </w:rPr>
        <w:t xml:space="preserve">或中标后拒绝签订合同，由此给采购人造成损失的，</w:t>
      </w:r>
      <w:r>
        <w:rPr>
          <w:rFonts w:hint="eastAsia" w:ascii="宋体" w:hAnsi="宋体" w:eastAsia="宋体" w:cs="宋体"/>
          <w:sz w:val="24"/>
          <w:szCs w:val="24"/>
        </w:rPr>
        <w:t xml:space="preserve">我方将</w:t>
      </w:r>
      <w:r>
        <w:rPr>
          <w:rFonts w:hint="eastAsia" w:ascii="宋体" w:hAnsi="宋体" w:eastAsia="宋体" w:cs="宋体"/>
          <w:sz w:val="24"/>
          <w:szCs w:val="24"/>
          <w:lang w:val="zh-CN"/>
        </w:rPr>
        <w:t xml:space="preserve">承担赔偿责任。</w:t>
      </w:r>
      <w:r>
        <w:rPr>
          <w:rFonts w:hint="eastAsia" w:ascii="宋体" w:hAnsi="宋体" w:eastAsia="宋体" w:cs="宋体"/>
          <w:sz w:val="24"/>
          <w:szCs w:val="24"/>
          <w:lang w:val="zh-CN"/>
        </w:rPr>
      </w:r>
      <w:r/>
    </w:p>
    <w:p>
      <w:pPr>
        <w:pStyle w:val="797"/>
        <w:ind w:firstLine="480"/>
        <w:jc w:val="left"/>
        <w:spacing w:line="360" w:lineRule="auto"/>
        <w:tabs>
          <w:tab w:val="left" w:pos="98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（6）同意向贵方提供贵方可能另外要求的与</w:t>
      </w:r>
      <w:r>
        <w:rPr>
          <w:rFonts w:hint="eastAsia" w:ascii="宋体" w:hAnsi="宋体" w:eastAsia="宋体" w:cs="宋体"/>
          <w:sz w:val="24"/>
          <w:szCs w:val="24"/>
        </w:rPr>
        <w:t xml:space="preserve">磋商</w:t>
      </w:r>
      <w:r>
        <w:rPr>
          <w:rFonts w:hint="eastAsia" w:ascii="宋体" w:hAnsi="宋体" w:eastAsia="宋体" w:cs="宋体"/>
          <w:sz w:val="24"/>
          <w:szCs w:val="24"/>
          <w:lang w:val="zh-CN"/>
        </w:rPr>
        <w:t xml:space="preserve">有关的任何证据或资料，并保证我方已提供和将要提供的文件是真实的、准确的。</w:t>
      </w:r>
      <w:r>
        <w:rPr>
          <w:rFonts w:hint="eastAsia" w:ascii="宋体" w:hAnsi="宋体" w:eastAsia="宋体" w:cs="宋体"/>
          <w:sz w:val="24"/>
          <w:szCs w:val="24"/>
          <w:lang w:val="zh-CN"/>
        </w:rPr>
      </w:r>
      <w:r/>
    </w:p>
    <w:p>
      <w:pPr>
        <w:pStyle w:val="797"/>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（7）一旦我方中标，我方将根据磋商文件的规定，严格履行合同的责任和义务，并保证于规定的时间完成</w:t>
      </w:r>
      <w:r>
        <w:rPr>
          <w:rFonts w:hint="eastAsia" w:ascii="宋体" w:hAnsi="宋体" w:eastAsia="宋体" w:cs="宋体"/>
          <w:sz w:val="24"/>
          <w:szCs w:val="24"/>
        </w:rPr>
        <w:t xml:space="preserve">本</w:t>
      </w:r>
      <w:r>
        <w:rPr>
          <w:rFonts w:hint="eastAsia" w:ascii="宋体" w:hAnsi="宋体" w:eastAsia="宋体" w:cs="宋体"/>
          <w:sz w:val="24"/>
          <w:szCs w:val="24"/>
          <w:lang w:val="zh-CN"/>
        </w:rPr>
        <w:t xml:space="preserve">项目，交付买方验收。保证不将项目全部或者部分转包给第三方。</w:t>
      </w:r>
      <w:r>
        <w:rPr>
          <w:rFonts w:hint="eastAsia" w:ascii="宋体" w:hAnsi="宋体" w:eastAsia="宋体" w:cs="宋体"/>
          <w:sz w:val="24"/>
          <w:szCs w:val="24"/>
          <w:lang w:val="zh-CN"/>
        </w:rPr>
      </w:r>
      <w:r/>
    </w:p>
    <w:p>
      <w:pPr>
        <w:pStyle w:val="797"/>
        <w:ind w:firstLine="480"/>
        <w:jc w:val="left"/>
        <w:spacing w:line="360" w:lineRule="auto"/>
        <w:tabs>
          <w:tab w:val="left" w:pos="98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（8）我们郑重声明：本单位未为此次项目提供过整体设计、规范编制或者项目管理、监理、检测等服务。</w:t>
      </w:r>
      <w:r>
        <w:rPr>
          <w:rFonts w:hint="eastAsia" w:ascii="宋体" w:hAnsi="宋体" w:eastAsia="宋体" w:cs="宋体"/>
          <w:sz w:val="24"/>
          <w:szCs w:val="24"/>
          <w:lang w:val="zh-CN"/>
        </w:rPr>
      </w:r>
      <w:r/>
    </w:p>
    <w:p>
      <w:pPr>
        <w:pStyle w:val="797"/>
        <w:ind w:firstLine="480"/>
        <w:jc w:val="left"/>
        <w:spacing w:line="360" w:lineRule="auto"/>
        <w:tabs>
          <w:tab w:val="left" w:pos="98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（9）遵守磋商文件中要求的收费项目和标准。</w:t>
      </w:r>
      <w:r>
        <w:rPr>
          <w:rFonts w:hint="eastAsia" w:ascii="宋体" w:hAnsi="宋体" w:eastAsia="宋体" w:cs="宋体"/>
          <w:sz w:val="24"/>
          <w:szCs w:val="24"/>
          <w:lang w:val="zh-CN"/>
        </w:rPr>
      </w:r>
      <w:r/>
    </w:p>
    <w:p>
      <w:pPr>
        <w:pStyle w:val="797"/>
        <w:ind w:firstLine="480"/>
        <w:jc w:val="left"/>
        <w:spacing w:line="360" w:lineRule="auto"/>
        <w:tabs>
          <w:tab w:val="left" w:pos="98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（10）与本</w:t>
      </w:r>
      <w:r>
        <w:rPr>
          <w:rFonts w:hint="eastAsia" w:ascii="宋体" w:hAnsi="宋体" w:eastAsia="宋体" w:cs="宋体"/>
          <w:sz w:val="24"/>
          <w:szCs w:val="24"/>
        </w:rPr>
        <w:t xml:space="preserve">次磋商</w:t>
      </w:r>
      <w:r>
        <w:rPr>
          <w:rFonts w:hint="eastAsia" w:ascii="宋体" w:hAnsi="宋体" w:eastAsia="宋体" w:cs="宋体"/>
          <w:sz w:val="24"/>
          <w:szCs w:val="24"/>
          <w:lang w:val="zh-CN"/>
        </w:rPr>
        <w:t xml:space="preserve">有关的正式通讯地址为：</w:t>
      </w:r>
      <w:r>
        <w:rPr>
          <w:rFonts w:hint="eastAsia" w:ascii="宋体" w:hAnsi="宋体" w:eastAsia="宋体" w:cs="宋体"/>
          <w:sz w:val="24"/>
          <w:szCs w:val="24"/>
          <w:lang w:val="zh-CN"/>
        </w:rPr>
      </w:r>
      <w:r/>
    </w:p>
    <w:p>
      <w:pPr>
        <w:pStyle w:val="797"/>
        <w:ind w:firstLine="515"/>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供应商（公章）：</w:t>
      </w:r>
      <w:r>
        <w:rPr>
          <w:rFonts w:hint="eastAsia" w:ascii="宋体" w:hAnsi="宋体" w:eastAsia="宋体" w:cs="宋体"/>
          <w:sz w:val="24"/>
          <w:szCs w:val="24"/>
          <w:u w:val="single"/>
        </w:rPr>
      </w:r>
      <w:r/>
    </w:p>
    <w:p>
      <w:pPr>
        <w:pStyle w:val="797"/>
        <w:ind w:firstLine="515"/>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法定代表人或授权代表（签字）：</w:t>
      </w:r>
      <w:r>
        <w:rPr>
          <w:rFonts w:hint="eastAsia" w:ascii="宋体" w:hAnsi="宋体" w:eastAsia="宋体" w:cs="宋体"/>
          <w:sz w:val="24"/>
          <w:szCs w:val="24"/>
          <w:u w:val="single"/>
        </w:rPr>
      </w:r>
      <w:r/>
    </w:p>
    <w:p>
      <w:pPr>
        <w:pStyle w:val="797"/>
        <w:ind w:firstLine="515"/>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rPr>
      </w:r>
      <w:r/>
    </w:p>
    <w:p>
      <w:pPr>
        <w:pStyle w:val="797"/>
        <w:ind w:firstLine="515"/>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单位开户银行及账户：</w:t>
      </w:r>
      <w:r>
        <w:rPr>
          <w:rFonts w:hint="eastAsia" w:ascii="宋体" w:hAnsi="宋体" w:eastAsia="宋体" w:cs="宋体"/>
          <w:sz w:val="24"/>
          <w:szCs w:val="24"/>
        </w:rPr>
      </w:r>
      <w:r/>
    </w:p>
    <w:p>
      <w:pPr>
        <w:pStyle w:val="797"/>
        <w:ind w:firstLine="515"/>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法定代表人或授权代表手机号码：</w:t>
      </w:r>
      <w:r>
        <w:rPr>
          <w:rFonts w:hint="eastAsia" w:ascii="宋体" w:hAnsi="宋体" w:eastAsia="宋体" w:cs="宋体"/>
          <w:sz w:val="24"/>
          <w:szCs w:val="24"/>
        </w:rPr>
      </w:r>
      <w:r/>
    </w:p>
    <w:p>
      <w:pPr>
        <w:pStyle w:val="797"/>
        <w:ind w:firstLine="515"/>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法定代表人或授权代表邮箱：</w:t>
      </w:r>
      <w:r>
        <w:rPr>
          <w:rFonts w:hint="eastAsia" w:ascii="宋体" w:hAnsi="宋体" w:eastAsia="宋体" w:cs="宋体"/>
          <w:sz w:val="24"/>
          <w:szCs w:val="24"/>
        </w:rPr>
      </w:r>
      <w:r/>
    </w:p>
    <w:p>
      <w:pPr>
        <w:pStyle w:val="820"/>
        <w:ind w:left="1260"/>
        <w:jc w:val="right"/>
        <w:rPr>
          <w:rFonts w:hint="eastAsia" w:ascii="宋体" w:hAnsi="宋体" w:eastAsia="宋体" w:cs="宋体"/>
          <w:sz w:val="24"/>
          <w:szCs w:val="24"/>
        </w:rPr>
      </w:pPr>
      <w:r>
        <w:rPr>
          <w:rFonts w:hint="eastAsia" w:ascii="宋体" w:hAnsi="宋体" w:eastAsia="宋体" w:cs="宋体"/>
          <w:sz w:val="24"/>
          <w:szCs w:val="24"/>
        </w:rPr>
        <w:t xml:space="preserve">2025年  月  日</w:t>
      </w:r>
      <w:r>
        <w:rPr>
          <w:rFonts w:hint="eastAsia" w:ascii="宋体" w:hAnsi="宋体" w:eastAsia="宋体" w:cs="宋体"/>
          <w:sz w:val="24"/>
          <w:szCs w:val="24"/>
        </w:rPr>
      </w:r>
      <w:r/>
    </w:p>
    <w:p>
      <w:pPr>
        <w:pStyle w:val="820"/>
        <w:ind w:left="1260"/>
        <w:rPr>
          <w:rFonts w:hint="eastAsia" w:ascii="宋体" w:hAnsi="宋体" w:eastAsia="宋体" w:cs="宋体"/>
          <w:sz w:val="24"/>
          <w:szCs w:val="24"/>
        </w:rPr>
      </w:pPr>
      <w:r>
        <w:rPr>
          <w:rFonts w:hint="eastAsia" w:ascii="宋体" w:hAnsi="宋体" w:eastAsia="宋体" w:cs="宋体"/>
          <w:sz w:val="24"/>
          <w:szCs w:val="24"/>
        </w:rPr>
      </w:r>
      <w:r/>
    </w:p>
    <w:p>
      <w:pPr>
        <w:pStyle w:val="799"/>
        <w:jc w:val="center"/>
        <w:pageBreakBefore/>
        <w:spacing w:after="120"/>
        <w:tabs>
          <w:tab w:val="left" w:pos="420" w:leader="none"/>
          <w:tab w:val="left" w:pos="560" w:leader="none"/>
        </w:tabs>
        <w:rPr>
          <w:rFonts w:hint="eastAsia" w:ascii="宋体" w:hAnsi="宋体" w:eastAsia="宋体" w:cs="宋体"/>
          <w:sz w:val="24"/>
          <w:szCs w:val="24"/>
        </w:rPr>
      </w:pPr>
      <w:r/>
      <w:bookmarkStart w:id="135" w:name="_Toc219286646"/>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法定代表人（负责人）授权书格式</w:t>
      </w:r>
      <w:bookmarkEnd w:id="135"/>
      <w:r>
        <w:rPr>
          <w:rFonts w:hint="eastAsia" w:ascii="宋体" w:hAnsi="宋体" w:eastAsia="宋体" w:cs="宋体"/>
          <w:sz w:val="24"/>
          <w:szCs w:val="24"/>
        </w:rPr>
      </w:r>
      <w:r/>
    </w:p>
    <w:p>
      <w:pPr>
        <w:pStyle w:val="797"/>
        <w:ind w:firstLine="515"/>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49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本授权书声明：注册于 </w:t>
      </w:r>
      <w:r>
        <w:rPr>
          <w:rFonts w:hint="eastAsia" w:ascii="宋体" w:hAnsi="宋体" w:eastAsia="宋体" w:cs="宋体"/>
          <w:sz w:val="24"/>
          <w:szCs w:val="24"/>
          <w:u w:val="single"/>
        </w:rPr>
        <w:t xml:space="preserve">       （地  址）         </w:t>
      </w:r>
      <w:r>
        <w:rPr>
          <w:rFonts w:hint="eastAsia" w:ascii="宋体" w:hAnsi="宋体" w:eastAsia="宋体" w:cs="宋体"/>
          <w:sz w:val="24"/>
          <w:szCs w:val="24"/>
        </w:rPr>
        <w:t xml:space="preserve">  的  </w:t>
      </w:r>
      <w:r>
        <w:rPr>
          <w:rFonts w:hint="eastAsia" w:ascii="宋体" w:hAnsi="宋体" w:eastAsia="宋体" w:cs="宋体"/>
          <w:sz w:val="24"/>
          <w:szCs w:val="24"/>
          <w:u w:val="single"/>
        </w:rPr>
        <w:t xml:space="preserve">  （供应商） </w:t>
      </w:r>
      <w:r>
        <w:rPr>
          <w:rFonts w:hint="eastAsia" w:ascii="宋体" w:hAnsi="宋体" w:eastAsia="宋体" w:cs="宋体"/>
          <w:sz w:val="24"/>
          <w:szCs w:val="24"/>
        </w:rPr>
        <w:t xml:space="preserve">  的在下面签名的 </w:t>
      </w:r>
      <w:r>
        <w:rPr>
          <w:rFonts w:hint="eastAsia" w:ascii="宋体" w:hAnsi="宋体" w:eastAsia="宋体" w:cs="宋体"/>
          <w:sz w:val="24"/>
          <w:szCs w:val="24"/>
          <w:u w:val="single"/>
        </w:rPr>
        <w:t xml:space="preserve">（法定代表人姓名、职务）  </w:t>
      </w:r>
      <w:r>
        <w:rPr>
          <w:rFonts w:hint="eastAsia" w:ascii="宋体" w:hAnsi="宋体" w:eastAsia="宋体" w:cs="宋体"/>
          <w:sz w:val="24"/>
          <w:szCs w:val="24"/>
        </w:rPr>
        <w:t xml:space="preserve"> 代表本单位授权 在下面签字 </w:t>
      </w:r>
      <w:r>
        <w:rPr>
          <w:rFonts w:hint="eastAsia" w:ascii="宋体" w:hAnsi="宋体" w:eastAsia="宋体" w:cs="宋体"/>
          <w:sz w:val="24"/>
          <w:szCs w:val="24"/>
          <w:u w:val="single"/>
        </w:rPr>
        <w:t xml:space="preserve">（被授权人的姓名、职务）     </w:t>
      </w:r>
      <w:r>
        <w:rPr>
          <w:rFonts w:hint="eastAsia" w:ascii="宋体" w:hAnsi="宋体" w:eastAsia="宋体" w:cs="宋体"/>
          <w:sz w:val="24"/>
          <w:szCs w:val="24"/>
        </w:rPr>
        <w:t xml:space="preserve"> （居民身份证编号：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）为本单位的合法代理人，就  </w:t>
      </w:r>
      <w:r>
        <w:rPr>
          <w:rFonts w:hint="eastAsia" w:ascii="宋体" w:hAnsi="宋体" w:eastAsia="宋体" w:cs="宋体"/>
          <w:sz w:val="24"/>
          <w:szCs w:val="24"/>
          <w:u w:val="single"/>
        </w:rPr>
        <w:t xml:space="preserve"> （ 项  目  名  称 ） </w:t>
      </w:r>
      <w:r>
        <w:rPr>
          <w:rFonts w:hint="eastAsia" w:ascii="宋体" w:hAnsi="宋体" w:eastAsia="宋体" w:cs="宋体"/>
          <w:sz w:val="24"/>
          <w:szCs w:val="24"/>
        </w:rPr>
        <w:t xml:space="preserve"> 的响应及合同的执行、完成，以本公司名义处理一切与之有关的事务。</w:t>
      </w:r>
      <w:r>
        <w:rPr>
          <w:rFonts w:hint="eastAsia" w:ascii="宋体" w:hAnsi="宋体" w:eastAsia="宋体" w:cs="宋体"/>
          <w:sz w:val="24"/>
          <w:szCs w:val="24"/>
        </w:rPr>
      </w:r>
      <w:r/>
    </w:p>
    <w:p>
      <w:pPr>
        <w:pStyle w:val="797"/>
        <w:ind w:firstLine="515"/>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515"/>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本授权书于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日签字生效，特此声明。</w:t>
      </w:r>
      <w:r>
        <w:rPr>
          <w:rFonts w:hint="eastAsia" w:ascii="宋体" w:hAnsi="宋体" w:eastAsia="宋体" w:cs="宋体"/>
          <w:sz w:val="24"/>
          <w:szCs w:val="24"/>
        </w:rPr>
      </w:r>
      <w:r/>
    </w:p>
    <w:p>
      <w:pPr>
        <w:pStyle w:val="797"/>
        <w:ind w:firstLine="49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515"/>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515"/>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法定代表人（负责人）签名：</w:t>
      </w:r>
      <w:r>
        <w:rPr>
          <w:rFonts w:hint="eastAsia" w:ascii="宋体" w:hAnsi="宋体" w:eastAsia="宋体" w:cs="宋体"/>
          <w:sz w:val="24"/>
          <w:szCs w:val="24"/>
          <w:u w:val="single"/>
        </w:rPr>
        <w:t xml:space="preserve">      （手签）       </w:t>
      </w:r>
      <w:r>
        <w:rPr>
          <w:rFonts w:hint="eastAsia" w:ascii="宋体" w:hAnsi="宋体" w:eastAsia="宋体" w:cs="宋体"/>
          <w:sz w:val="24"/>
          <w:szCs w:val="24"/>
          <w:u w:val="single"/>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515"/>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授权代表签名：</w:t>
      </w:r>
      <w:r>
        <w:rPr>
          <w:rFonts w:hint="eastAsia" w:ascii="宋体" w:hAnsi="宋体" w:eastAsia="宋体" w:cs="宋体"/>
          <w:sz w:val="24"/>
          <w:szCs w:val="24"/>
          <w:u w:val="single"/>
        </w:rPr>
        <w:t xml:space="preserve">      （手签）          </w:t>
      </w:r>
      <w:r>
        <w:rPr>
          <w:rFonts w:hint="eastAsia" w:ascii="宋体" w:hAnsi="宋体" w:eastAsia="宋体" w:cs="宋体"/>
          <w:sz w:val="24"/>
          <w:szCs w:val="24"/>
          <w:u w:val="single"/>
        </w:rPr>
      </w:r>
      <w:r/>
    </w:p>
    <w:p>
      <w:pPr>
        <w:pStyle w:val="797"/>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49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供应商名称（盖章）：</w:t>
      </w:r>
      <w:r>
        <w:rPr>
          <w:rFonts w:hint="eastAsia" w:ascii="宋体" w:hAnsi="宋体" w:eastAsia="宋体" w:cs="宋体"/>
          <w:sz w:val="24"/>
          <w:szCs w:val="24"/>
          <w:u w:val="single"/>
        </w:rPr>
      </w:r>
      <w:r/>
    </w:p>
    <w:p>
      <w:pPr>
        <w:pStyle w:val="797"/>
        <w:ind w:firstLine="49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97"/>
        <w:ind w:firstLine="482"/>
        <w:spacing w:line="400" w:lineRule="exact"/>
        <w:rPr>
          <w:rFonts w:hint="eastAsia" w:ascii="宋体" w:hAnsi="宋体" w:eastAsia="宋体" w:cs="宋体"/>
          <w:b/>
          <w:bCs/>
          <w:sz w:val="24"/>
          <w:szCs w:val="24"/>
        </w:rPr>
      </w:pPr>
      <w:r/>
      <w:bookmarkStart w:id="136" w:name="_Toc219286647"/>
      <w:r/>
      <w:bookmarkStart w:id="137" w:name="_Toc198024832"/>
      <w:r>
        <w:rPr>
          <w:rFonts w:hint="eastAsia" w:ascii="宋体" w:hAnsi="宋体" w:eastAsia="宋体" w:cs="宋体"/>
          <w:b/>
          <w:bCs/>
          <w:sz w:val="24"/>
          <w:szCs w:val="24"/>
        </w:rPr>
        <w:t xml:space="preserve">附法定代表人（负责人）身份证复印件、被授权人身份证复印件：</w:t>
      </w:r>
      <w:r>
        <w:rPr>
          <w:rFonts w:hint="eastAsia" w:ascii="宋体" w:hAnsi="宋体" w:eastAsia="宋体" w:cs="宋体"/>
          <w:b/>
          <w:bCs/>
          <w:sz w:val="24"/>
          <w:szCs w:val="24"/>
        </w:rPr>
      </w:r>
      <w:r/>
    </w:p>
    <w:p>
      <w:pPr>
        <w:pStyle w:val="799"/>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799"/>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799"/>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799"/>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799"/>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797"/>
        <w:rPr>
          <w:rFonts w:hint="eastAsia" w:ascii="宋体" w:hAnsi="宋体" w:eastAsia="宋体" w:cs="宋体"/>
          <w:sz w:val="24"/>
          <w:szCs w:val="24"/>
        </w:rPr>
      </w:pPr>
      <w:r>
        <w:rPr>
          <w:rFonts w:hint="eastAsia" w:ascii="宋体" w:hAnsi="宋体" w:eastAsia="宋体" w:cs="宋体"/>
          <w:sz w:val="24"/>
          <w:szCs w:val="24"/>
        </w:rPr>
      </w:r>
      <w:r/>
    </w:p>
    <w:p>
      <w:pPr>
        <w:pStyle w:val="811"/>
        <w:rPr>
          <w:rFonts w:hint="eastAsia" w:ascii="宋体" w:hAnsi="宋体" w:eastAsia="宋体" w:cs="宋体"/>
          <w:sz w:val="24"/>
          <w:szCs w:val="24"/>
        </w:rPr>
      </w:pPr>
      <w:r>
        <w:rPr>
          <w:rFonts w:hint="eastAsia" w:ascii="宋体" w:hAnsi="宋体" w:eastAsia="宋体" w:cs="宋体"/>
          <w:sz w:val="24"/>
          <w:szCs w:val="24"/>
        </w:rPr>
      </w:r>
      <w:r/>
    </w:p>
    <w:p>
      <w:pPr>
        <w:pStyle w:val="811"/>
        <w:ind w:left="0" w:firstLine="0"/>
        <w:jc w:val="both"/>
        <w:rPr>
          <w:rFonts w:hint="eastAsia" w:ascii="宋体" w:hAnsi="宋体" w:eastAsia="宋体" w:cs="宋体"/>
          <w:sz w:val="24"/>
          <w:szCs w:val="24"/>
        </w:rPr>
      </w:pPr>
      <w:r>
        <w:rPr>
          <w:rFonts w:hint="eastAsia" w:ascii="宋体" w:hAnsi="宋体" w:eastAsia="宋体" w:cs="宋体"/>
          <w:sz w:val="24"/>
          <w:szCs w:val="24"/>
        </w:rPr>
      </w:r>
      <w:r/>
    </w:p>
    <w:p>
      <w:pPr>
        <w:pStyle w:val="855"/>
        <w:ind w:left="0" w:firstLine="0"/>
        <w:jc w:val="center"/>
        <w:spacing w:line="360" w:lineRule="auto"/>
        <w:tabs>
          <w:tab w:val="left" w:pos="720" w:leader="none"/>
        </w:tabs>
        <w:rPr>
          <w:rFonts w:hint="eastAsia" w:ascii="宋体" w:hAnsi="宋体" w:eastAsia="宋体" w:cs="宋体"/>
          <w:b w:val="0"/>
          <w:sz w:val="24"/>
          <w:szCs w:val="24"/>
        </w:rPr>
      </w:pPr>
      <w:r/>
      <w:bookmarkEnd w:id="136"/>
      <w:r/>
      <w:bookmarkEnd w:id="137"/>
      <w:r/>
      <w:bookmarkStart w:id="138" w:name="_Toc481072027"/>
      <w:r/>
      <w:bookmarkStart w:id="139" w:name="_Toc496184265"/>
      <w:r/>
      <w:bookmarkStart w:id="140" w:name="_Toc475009311"/>
      <w:r/>
      <w:bookmarkStart w:id="141" w:name="_Toc481071981"/>
      <w:r/>
      <w:bookmarkStart w:id="142" w:name="_Toc496188859"/>
      <w:r/>
      <w:bookmarkStart w:id="143" w:name="_Toc496079296"/>
      <w:r>
        <w:rPr>
          <w:rFonts w:hint="eastAsia" w:ascii="宋体" w:hAnsi="宋体" w:eastAsia="宋体" w:cs="宋体"/>
          <w:bCs/>
          <w:sz w:val="24"/>
          <w:szCs w:val="24"/>
        </w:rPr>
        <w:t xml:space="preserve">附件3：商务条款响应表</w:t>
      </w:r>
      <w:r>
        <w:rPr>
          <w:rFonts w:hint="eastAsia" w:ascii="宋体" w:hAnsi="宋体" w:eastAsia="宋体" w:cs="宋体"/>
          <w:b w:val="0"/>
          <w:sz w:val="24"/>
          <w:szCs w:val="24"/>
        </w:rPr>
      </w:r>
      <w:r/>
    </w:p>
    <w:p>
      <w:pPr>
        <w:pStyle w:val="797"/>
        <w:rPr>
          <w:rFonts w:hint="eastAsia" w:ascii="宋体" w:hAnsi="宋体" w:eastAsia="宋体" w:cs="宋体"/>
          <w:sz w:val="24"/>
          <w:szCs w:val="24"/>
        </w:rPr>
      </w:pPr>
      <w:r>
        <w:rPr>
          <w:rFonts w:hint="eastAsia"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9"/>
        <w:gridCol w:w="2565"/>
        <w:gridCol w:w="2455"/>
        <w:gridCol w:w="2770"/>
      </w:tblGrid>
      <w:tr>
        <w:trPr>
          <w:trHeight w:val="643"/>
        </w:trPr>
        <w:tc>
          <w:tcPr>
            <w:tcW w:w="799"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565"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W w:w="2455"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t xml:space="preserve">采购要求</w:t>
            </w:r>
            <w:r>
              <w:rPr>
                <w:rFonts w:hint="eastAsia" w:ascii="宋体" w:hAnsi="宋体" w:eastAsia="宋体" w:cs="宋体"/>
                <w:sz w:val="24"/>
                <w:szCs w:val="24"/>
              </w:rPr>
            </w:r>
            <w:r/>
          </w:p>
        </w:tc>
        <w:tc>
          <w:tcPr>
            <w:tcW w:w="2770"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t xml:space="preserve">是否完全响应（填是或者否）</w:t>
            </w:r>
            <w:r>
              <w:rPr>
                <w:rFonts w:hint="eastAsia" w:ascii="宋体" w:hAnsi="宋体" w:eastAsia="宋体" w:cs="宋体"/>
                <w:sz w:val="24"/>
                <w:szCs w:val="24"/>
              </w:rPr>
            </w:r>
            <w:r/>
          </w:p>
        </w:tc>
      </w:tr>
      <w:tr>
        <w:trPr>
          <w:trHeight w:val="447"/>
        </w:trPr>
        <w:tc>
          <w:tcPr>
            <w:tcW w:w="799" w:type="dxa"/>
            <w:vAlign w:val="center"/>
            <w:textDirection w:val="lrTb"/>
            <w:noWrap w:val="false"/>
          </w:tcPr>
          <w:p>
            <w:pPr>
              <w:pStyle w:val="797"/>
              <w:jc w:val="center"/>
              <w:spacing w:before="143"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565" w:type="dxa"/>
            <w:vAlign w:val="center"/>
            <w:textDirection w:val="lrTb"/>
            <w:noWrap w:val="false"/>
          </w:tcPr>
          <w:p>
            <w:pPr>
              <w:pStyle w:val="797"/>
              <w:jc w:val="center"/>
              <w:spacing w:before="143" w:line="360" w:lineRule="auto"/>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rPr>
            </w:r>
            <w:r/>
          </w:p>
        </w:tc>
        <w:tc>
          <w:tcPr>
            <w:tcW w:w="2455" w:type="dxa"/>
            <w:vAlign w:val="center"/>
            <w:textDirection w:val="lrTb"/>
            <w:noWrap w:val="false"/>
          </w:tcPr>
          <w:p>
            <w:pPr>
              <w:pStyle w:val="797"/>
              <w:jc w:val="left"/>
              <w:spacing w:before="143" w:line="360" w:lineRule="auto"/>
              <w:rPr>
                <w:rFonts w:hint="eastAsia" w:ascii="宋体" w:hAnsi="宋体" w:eastAsia="宋体" w:cs="宋体"/>
                <w:sz w:val="24"/>
                <w:szCs w:val="24"/>
              </w:rPr>
            </w:pPr>
            <w:r>
              <w:rPr>
                <w:rFonts w:hint="eastAsia" w:ascii="宋体" w:hAnsi="宋体" w:eastAsia="宋体" w:cs="宋体"/>
                <w:sz w:val="24"/>
                <w:szCs w:val="24"/>
              </w:rPr>
              <w:t xml:space="preserve">2026年1月1日零时至2026年12月31日24时</w:t>
            </w:r>
            <w:r>
              <w:rPr>
                <w:rFonts w:hint="eastAsia" w:ascii="宋体" w:hAnsi="宋体" w:eastAsia="宋体" w:cs="宋体"/>
                <w:sz w:val="24"/>
                <w:szCs w:val="24"/>
              </w:rPr>
            </w:r>
            <w:r/>
          </w:p>
        </w:tc>
        <w:tc>
          <w:tcPr>
            <w:tcW w:w="2770"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r>
      <w:tr>
        <w:trPr>
          <w:trHeight w:val="541"/>
        </w:trPr>
        <w:tc>
          <w:tcPr>
            <w:tcW w:w="799" w:type="dxa"/>
            <w:vAlign w:val="center"/>
            <w:textDirection w:val="lrTb"/>
            <w:noWrap w:val="false"/>
          </w:tcPr>
          <w:p>
            <w:pPr>
              <w:pStyle w:val="797"/>
              <w:jc w:val="center"/>
              <w:spacing w:before="143"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565" w:type="dxa"/>
            <w:vAlign w:val="center"/>
            <w:textDirection w:val="lrTb"/>
            <w:noWrap w:val="false"/>
          </w:tcPr>
          <w:p>
            <w:pPr>
              <w:pStyle w:val="797"/>
              <w:jc w:val="center"/>
              <w:spacing w:before="143" w:line="360" w:lineRule="auto"/>
              <w:rPr>
                <w:rFonts w:hint="eastAsia" w:ascii="宋体" w:hAnsi="宋体" w:eastAsia="宋体" w:cs="宋体"/>
                <w:sz w:val="24"/>
                <w:szCs w:val="24"/>
              </w:rPr>
            </w:pPr>
            <w:r>
              <w:rPr>
                <w:rFonts w:hint="eastAsia" w:ascii="宋体" w:hAnsi="宋体" w:eastAsia="宋体" w:cs="宋体"/>
                <w:sz w:val="24"/>
                <w:szCs w:val="24"/>
              </w:rPr>
              <w:t xml:space="preserve">付款方式</w:t>
            </w:r>
            <w:r>
              <w:rPr>
                <w:rFonts w:hint="eastAsia" w:ascii="宋体" w:hAnsi="宋体" w:eastAsia="宋体" w:cs="宋体"/>
                <w:sz w:val="24"/>
                <w:szCs w:val="24"/>
              </w:rPr>
            </w:r>
            <w:r/>
          </w:p>
        </w:tc>
        <w:tc>
          <w:tcPr>
            <w:tcW w:w="2455" w:type="dxa"/>
            <w:vAlign w:val="center"/>
            <w:textDirection w:val="lrTb"/>
            <w:noWrap w:val="false"/>
          </w:tcPr>
          <w:p>
            <w:pPr>
              <w:pStyle w:val="797"/>
              <w:jc w:val="center"/>
              <w:spacing w:before="143" w:line="360" w:lineRule="auto"/>
              <w:rPr>
                <w:rFonts w:hint="eastAsia" w:ascii="宋体" w:hAnsi="宋体" w:eastAsia="宋体" w:cs="宋体"/>
                <w:sz w:val="24"/>
                <w:szCs w:val="24"/>
              </w:rPr>
            </w:pPr>
            <w:r>
              <w:rPr>
                <w:rFonts w:hint="eastAsia" w:ascii="宋体" w:hAnsi="宋体" w:eastAsia="宋体" w:cs="宋体"/>
                <w:sz w:val="24"/>
                <w:szCs w:val="24"/>
              </w:rPr>
              <w:t xml:space="preserve">第一批被保险人的保险费，供应商先行垫付，待采购人市、区分级承担的财政资金到位后，一次性划入供应商账户。</w:t>
            </w:r>
            <w:r>
              <w:rPr>
                <w:rFonts w:hint="eastAsia" w:ascii="宋体" w:hAnsi="宋体" w:eastAsia="宋体" w:cs="宋体"/>
                <w:sz w:val="24"/>
                <w:szCs w:val="24"/>
              </w:rPr>
            </w:r>
            <w:r/>
          </w:p>
        </w:tc>
        <w:tc>
          <w:tcPr>
            <w:tcW w:w="2770"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W w:w="799" w:type="dxa"/>
            <w:vAlign w:val="center"/>
            <w:textDirection w:val="lrTb"/>
            <w:noWrap w:val="false"/>
          </w:tcPr>
          <w:p>
            <w:pPr>
              <w:pStyle w:val="797"/>
              <w:jc w:val="center"/>
              <w:spacing w:before="143"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565" w:type="dxa"/>
            <w:vAlign w:val="center"/>
            <w:textDirection w:val="lrTb"/>
            <w:noWrap w:val="false"/>
          </w:tcPr>
          <w:p>
            <w:pPr>
              <w:pStyle w:val="797"/>
              <w:jc w:val="center"/>
              <w:spacing w:before="143" w:line="360" w:lineRule="auto"/>
              <w:rPr>
                <w:rFonts w:hint="eastAsia" w:ascii="宋体" w:hAnsi="宋体" w:eastAsia="宋体" w:cs="宋体"/>
                <w:sz w:val="24"/>
                <w:szCs w:val="24"/>
              </w:rPr>
            </w:pPr>
            <w:r>
              <w:rPr>
                <w:rFonts w:hint="eastAsia" w:ascii="宋体" w:hAnsi="宋体" w:eastAsia="宋体" w:cs="宋体"/>
                <w:sz w:val="24"/>
                <w:szCs w:val="24"/>
              </w:rPr>
              <w:t xml:space="preserve">投标货币</w:t>
            </w:r>
            <w:r>
              <w:rPr>
                <w:rFonts w:hint="eastAsia" w:ascii="宋体" w:hAnsi="宋体" w:eastAsia="宋体" w:cs="宋体"/>
                <w:sz w:val="24"/>
                <w:szCs w:val="24"/>
              </w:rPr>
            </w:r>
            <w:r/>
          </w:p>
        </w:tc>
        <w:tc>
          <w:tcPr>
            <w:tcW w:w="2455" w:type="dxa"/>
            <w:vAlign w:val="center"/>
            <w:textDirection w:val="lrTb"/>
            <w:noWrap w:val="false"/>
          </w:tcPr>
          <w:p>
            <w:pPr>
              <w:pStyle w:val="797"/>
              <w:jc w:val="center"/>
              <w:spacing w:before="143" w:line="360" w:lineRule="auto"/>
              <w:rPr>
                <w:rFonts w:hint="eastAsia" w:ascii="宋体" w:hAnsi="宋体" w:eastAsia="宋体" w:cs="宋体"/>
                <w:sz w:val="24"/>
                <w:szCs w:val="24"/>
              </w:rPr>
            </w:pPr>
            <w:r>
              <w:rPr>
                <w:rFonts w:hint="eastAsia" w:ascii="宋体" w:hAnsi="宋体" w:eastAsia="宋体" w:cs="宋体"/>
                <w:sz w:val="24"/>
                <w:szCs w:val="24"/>
              </w:rPr>
              <w:t xml:space="preserve">人民币</w:t>
            </w:r>
            <w:r>
              <w:rPr>
                <w:rFonts w:hint="eastAsia" w:ascii="宋体" w:hAnsi="宋体" w:eastAsia="宋体" w:cs="宋体"/>
                <w:sz w:val="24"/>
                <w:szCs w:val="24"/>
              </w:rPr>
            </w:r>
            <w:r/>
          </w:p>
        </w:tc>
        <w:tc>
          <w:tcPr>
            <w:tcW w:w="2770"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W w:w="799"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r>
            <w:r/>
          </w:p>
        </w:tc>
        <w:tc>
          <w:tcPr>
            <w:tcW w:w="2455"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c>
          <w:tcPr>
            <w:tcW w:w="2770"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W w:w="799"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c>
          <w:tcPr>
            <w:tcW w:w="2455"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c>
          <w:tcPr>
            <w:tcW w:w="2770"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r>
      <w:tr>
        <w:trPr>
          <w:trHeight w:val="401"/>
        </w:trPr>
        <w:tc>
          <w:tcPr>
            <w:tcW w:w="799"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c>
          <w:tcPr>
            <w:tcW w:w="2455"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c>
          <w:tcPr>
            <w:tcW w:w="2770"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W w:w="799"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c>
          <w:tcPr>
            <w:tcW w:w="2455"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c>
          <w:tcPr>
            <w:tcW w:w="2770"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W w:w="799" w:type="dxa"/>
            <w:vAlign w:val="center"/>
            <w:textDirection w:val="lrTb"/>
            <w:noWrap w:val="false"/>
          </w:tcPr>
          <w:p>
            <w:pPr>
              <w:pStyle w:val="797"/>
              <w:jc w:val="center"/>
              <w:spacing w:before="143"/>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c>
          <w:tcPr>
            <w:tcW w:w="2455"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c>
          <w:tcPr>
            <w:tcW w:w="2770" w:type="dxa"/>
            <w:vAlign w:val="center"/>
            <w:textDirection w:val="lrTb"/>
            <w:noWrap w:val="false"/>
          </w:tcPr>
          <w:p>
            <w:pPr>
              <w:pStyle w:val="797"/>
              <w:spacing w:before="143"/>
              <w:rPr>
                <w:rFonts w:hint="eastAsia" w:ascii="宋体" w:hAnsi="宋体" w:eastAsia="宋体" w:cs="宋体"/>
                <w:sz w:val="24"/>
                <w:szCs w:val="24"/>
              </w:rPr>
            </w:pPr>
            <w:r>
              <w:rPr>
                <w:rFonts w:hint="eastAsia" w:ascii="宋体" w:hAnsi="宋体" w:eastAsia="宋体" w:cs="宋体"/>
                <w:sz w:val="24"/>
                <w:szCs w:val="24"/>
              </w:rPr>
            </w:r>
            <w:r/>
          </w:p>
        </w:tc>
      </w:tr>
    </w:tbl>
    <w:p>
      <w:pPr>
        <w:pStyle w:val="81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投标人名称（公章）：                      </w:t>
      </w:r>
      <w:r>
        <w:rPr>
          <w:rFonts w:hint="eastAsia" w:ascii="宋体" w:hAnsi="宋体" w:eastAsia="宋体" w:cs="宋体"/>
          <w:sz w:val="24"/>
          <w:szCs w:val="24"/>
        </w:rPr>
      </w:r>
      <w:r/>
    </w:p>
    <w:p>
      <w:pPr>
        <w:pStyle w:val="81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97"/>
        <w:ind w:hanging="315"/>
        <w:spacing w:line="500" w:lineRule="exact"/>
        <w:rPr>
          <w:rFonts w:hint="eastAsia" w:ascii="宋体" w:hAnsi="宋体" w:eastAsia="宋体" w:cs="宋体"/>
          <w:sz w:val="24"/>
          <w:szCs w:val="24"/>
        </w:rPr>
      </w:pPr>
      <w:r>
        <w:rPr>
          <w:rFonts w:hint="eastAsia" w:ascii="宋体" w:hAnsi="宋体" w:eastAsia="宋体" w:cs="宋体"/>
          <w:sz w:val="24"/>
          <w:szCs w:val="24"/>
        </w:rPr>
        <w:t xml:space="preserve">                                                              日期：    年  月   日</w:t>
      </w:r>
      <w:r>
        <w:rPr>
          <w:rFonts w:hint="eastAsia" w:ascii="宋体" w:hAnsi="宋体" w:eastAsia="宋体" w:cs="宋体"/>
          <w:sz w:val="24"/>
          <w:szCs w:val="24"/>
        </w:rPr>
      </w:r>
      <w:r/>
    </w:p>
    <w:p>
      <w:pPr>
        <w:pStyle w:val="808"/>
        <w:rPr>
          <w:rFonts w:hint="eastAsia" w:ascii="宋体" w:hAnsi="宋体" w:eastAsia="宋体" w:cs="宋体"/>
          <w:sz w:val="24"/>
          <w:szCs w:val="24"/>
        </w:rPr>
      </w:pPr>
      <w:r>
        <w:rPr>
          <w:rFonts w:hint="eastAsia" w:ascii="宋体" w:hAnsi="宋体" w:eastAsia="宋体" w:cs="宋体"/>
          <w:sz w:val="24"/>
          <w:szCs w:val="24"/>
        </w:rPr>
      </w:r>
      <w:r/>
    </w:p>
    <w:p>
      <w:pPr>
        <w:pStyle w:val="834"/>
        <w:rPr>
          <w:rFonts w:hint="eastAsia" w:ascii="宋体" w:hAnsi="宋体" w:eastAsia="宋体" w:cs="宋体"/>
          <w:sz w:val="24"/>
          <w:szCs w:val="24"/>
        </w:rPr>
      </w:pPr>
      <w:r>
        <w:rPr>
          <w:rFonts w:hint="eastAsia" w:ascii="宋体" w:hAnsi="宋体" w:eastAsia="宋体" w:cs="宋体"/>
          <w:sz w:val="24"/>
          <w:szCs w:val="24"/>
        </w:rPr>
      </w:r>
      <w:r/>
    </w:p>
    <w:p>
      <w:pPr>
        <w:pStyle w:val="797"/>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注：商务条款须完全响应，否则作无效投标处理。</w:t>
      </w:r>
      <w:r>
        <w:rPr>
          <w:rFonts w:hint="eastAsia" w:ascii="宋体" w:hAnsi="宋体" w:eastAsia="宋体" w:cs="宋体"/>
          <w:b/>
          <w:bCs/>
          <w:sz w:val="24"/>
          <w:szCs w:val="24"/>
        </w:rPr>
      </w:r>
      <w:r/>
    </w:p>
    <w:p>
      <w:pPr>
        <w:pStyle w:val="797"/>
        <w:jc w:val="center"/>
        <w:spacing w:line="500" w:lineRule="exact"/>
        <w:rPr>
          <w:rFonts w:hint="eastAsia" w:ascii="宋体" w:hAnsi="宋体" w:eastAsia="宋体" w:cs="宋体"/>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附件4：采购需求响应及偏离表</w:t>
      </w:r>
      <w:bookmarkEnd w:id="138"/>
      <w:r/>
      <w:bookmarkEnd w:id="139"/>
      <w:r/>
      <w:bookmarkEnd w:id="140"/>
      <w:r/>
      <w:bookmarkEnd w:id="141"/>
      <w:r/>
      <w:bookmarkEnd w:id="142"/>
      <w:r/>
      <w:bookmarkEnd w:id="143"/>
      <w:r>
        <w:rPr>
          <w:rFonts w:hint="eastAsia" w:ascii="宋体" w:hAnsi="宋体" w:eastAsia="宋体" w:cs="宋体"/>
          <w:bCs/>
          <w:sz w:val="24"/>
          <w:szCs w:val="24"/>
        </w:rPr>
      </w:r>
      <w:r/>
    </w:p>
    <w:p>
      <w:pPr>
        <w:pStyle w:val="797"/>
        <w:jc w:val="center"/>
        <w:rPr>
          <w:rFonts w:hint="eastAsia" w:ascii="宋体" w:hAnsi="宋体" w:eastAsia="宋体" w:cs="宋体"/>
          <w:sz w:val="24"/>
          <w:szCs w:val="24"/>
        </w:rPr>
      </w:pPr>
      <w:r>
        <w:rPr>
          <w:rFonts w:hint="eastAsia" w:ascii="宋体" w:hAnsi="宋体" w:eastAsia="宋体" w:cs="宋体"/>
          <w:sz w:val="24"/>
          <w:szCs w:val="24"/>
        </w:rPr>
      </w:r>
      <w:r/>
    </w:p>
    <w:tbl>
      <w:tblPr>
        <w:tblW w:w="9059" w:type="dxa"/>
        <w:tblInd w:w="-143" w:type="dxa"/>
        <w:tblLayout w:type="fixed"/>
        <w:tblCellMar>
          <w:left w:w="108" w:type="dxa"/>
          <w:top w:w="0" w:type="dxa"/>
          <w:right w:w="108" w:type="dxa"/>
          <w:bottom w:w="0" w:type="dxa"/>
        </w:tblCellMar>
        <w:tblLook w:val="04A0" w:firstRow="1" w:lastRow="0" w:firstColumn="1" w:lastColumn="0" w:noHBand="0" w:noVBand="1"/>
      </w:tblPr>
      <w:tblGrid>
        <w:gridCol w:w="675"/>
        <w:gridCol w:w="3396"/>
        <w:gridCol w:w="2494"/>
        <w:gridCol w:w="2494"/>
      </w:tblGrid>
      <w:tr>
        <w:trPr>
          <w:cantSplit/>
          <w:trHeight w:val="50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pacing w:val="15"/>
                <w:sz w:val="24"/>
                <w:szCs w:val="24"/>
              </w:rPr>
              <w:t xml:space="preserve">采购文件要求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是否完全响应（填是或者否）</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cantSplit/>
          <w:trHeight w:val="18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97"/>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797"/>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 项目需求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pStyle w:val="797"/>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pStyle w:val="797"/>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12"/>
        <w:ind w:hanging="12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2"/>
        <w:ind w:hanging="12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2"/>
        <w:ind w:hanging="12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12"/>
        <w:ind w:hanging="12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2"/>
        <w:ind w:hanging="12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法定代表人（授权代表）签字：</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97"/>
        <w:ind w:hanging="315"/>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                                                                                                                        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797"/>
        <w:rPr>
          <w:rFonts w:hint="eastAsia" w:ascii="宋体" w:hAnsi="宋体" w:eastAsia="宋体" w:cs="宋体"/>
          <w:sz w:val="24"/>
          <w:szCs w:val="24"/>
        </w:rPr>
      </w:pPr>
      <w:r>
        <w:rPr>
          <w:rFonts w:hint="eastAsia" w:ascii="宋体" w:hAnsi="宋体" w:eastAsia="宋体" w:cs="宋体"/>
          <w:sz w:val="24"/>
          <w:szCs w:val="24"/>
        </w:rPr>
      </w:r>
      <w:r/>
    </w:p>
    <w:p>
      <w:pPr>
        <w:pStyle w:val="797"/>
        <w:rPr>
          <w:rFonts w:hint="eastAsia" w:ascii="宋体" w:hAnsi="宋体" w:eastAsia="宋体" w:cs="宋体"/>
          <w:sz w:val="24"/>
          <w:szCs w:val="24"/>
        </w:rPr>
      </w:pPr>
      <w:r>
        <w:rPr>
          <w:rFonts w:hint="eastAsia" w:ascii="宋体" w:hAnsi="宋体" w:eastAsia="宋体" w:cs="宋体"/>
          <w:sz w:val="24"/>
          <w:szCs w:val="24"/>
        </w:rPr>
        <w:t xml:space="preserve">填写说明：如有负偏离须在备注栏详细说明</w:t>
      </w:r>
      <w:r>
        <w:rPr>
          <w:rFonts w:hint="eastAsia" w:ascii="宋体" w:hAnsi="宋体" w:eastAsia="宋体" w:cs="宋体"/>
          <w:sz w:val="24"/>
          <w:szCs w:val="24"/>
        </w:rPr>
      </w:r>
      <w:r/>
    </w:p>
    <w:p>
      <w:pPr>
        <w:pStyle w:val="797"/>
        <w:jc w:val="center"/>
        <w:spacing w:line="460" w:lineRule="exact"/>
        <w:rPr>
          <w:rFonts w:hint="eastAsia" w:ascii="宋体" w:hAnsi="宋体" w:eastAsia="宋体" w:cs="宋体"/>
          <w:bCs/>
          <w:sz w:val="24"/>
          <w:szCs w:val="24"/>
        </w:rPr>
        <w:outlineLvl w:val="0"/>
      </w:pPr>
      <w:r/>
      <w:bookmarkStart w:id="144" w:name="_Hlt26955054"/>
      <w:r/>
      <w:bookmarkEnd w:id="144"/>
      <w:r/>
      <w:bookmarkStart w:id="145" w:name="_Hlt26955070"/>
      <w:r/>
      <w:bookmarkEnd w:id="145"/>
      <w:r/>
      <w:bookmarkStart w:id="146" w:name="_Hlt26609389"/>
      <w:r/>
      <w:bookmarkEnd w:id="146"/>
      <w:r/>
      <w:bookmarkStart w:id="147" w:name="_格式3__银行出具的资信证明"/>
      <w:r/>
      <w:bookmarkEnd w:id="147"/>
      <w:r/>
      <w:bookmarkStart w:id="148" w:name="_Hlt26671374"/>
      <w:r/>
      <w:bookmarkEnd w:id="148"/>
      <w:r/>
      <w:bookmarkStart w:id="149" w:name="_Hlt26955066"/>
      <w:r/>
      <w:bookmarkEnd w:id="149"/>
      <w:r/>
      <w:bookmarkStart w:id="150" w:name="_Hlt26671380"/>
      <w:r/>
      <w:bookmarkEnd w:id="150"/>
      <w:r/>
      <w:bookmarkStart w:id="151" w:name="_Toc496188860"/>
      <w:r/>
      <w:bookmarkStart w:id="152" w:name="_Toc481072028"/>
      <w:r/>
      <w:bookmarkStart w:id="153" w:name="_Toc475009312"/>
      <w:r/>
      <w:bookmarkStart w:id="154" w:name="_Toc481071982"/>
      <w:r/>
      <w:bookmarkStart w:id="155" w:name="_Toc496184266"/>
      <w:r/>
      <w:bookmarkStart w:id="156" w:name="_Toc496079297"/>
      <w:r>
        <w:rPr>
          <w:rFonts w:hint="eastAsia" w:ascii="宋体" w:hAnsi="宋体" w:eastAsia="宋体" w:cs="宋体"/>
          <w:bCs/>
          <w:sz w:val="24"/>
          <w:szCs w:val="24"/>
        </w:rPr>
        <w:br w:type="page" w:clear="all"/>
      </w:r>
      <w:bookmarkEnd w:id="151"/>
      <w:r/>
      <w:bookmarkEnd w:id="152"/>
      <w:r/>
      <w:bookmarkEnd w:id="153"/>
      <w:r/>
      <w:bookmarkEnd w:id="154"/>
      <w:r/>
      <w:bookmarkEnd w:id="155"/>
      <w:r/>
      <w:bookmarkEnd w:id="156"/>
      <w:r/>
      <w:bookmarkStart w:id="157" w:name="_Toc7415"/>
      <w:r/>
      <w:bookmarkStart w:id="158" w:name="_Toc9743"/>
      <w:r/>
      <w:bookmarkStart w:id="159" w:name="_Toc29905"/>
      <w:r>
        <w:rPr>
          <w:rFonts w:hint="eastAsia" w:ascii="宋体" w:hAnsi="宋体" w:eastAsia="宋体" w:cs="宋体"/>
          <w:b/>
          <w:sz w:val="24"/>
          <w:szCs w:val="24"/>
        </w:rPr>
        <w:t xml:space="preserve">附件5</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具备履行合同所必需的设备和专业技术能力的证明材料（格式自定）</w:t>
      </w:r>
      <w:bookmarkEnd w:id="157"/>
      <w:r/>
      <w:bookmarkEnd w:id="158"/>
      <w:r/>
      <w:bookmarkEnd w:id="159"/>
      <w:r>
        <w:rPr>
          <w:rFonts w:hint="eastAsia" w:ascii="宋体" w:hAnsi="宋体" w:eastAsia="宋体" w:cs="宋体"/>
          <w:bCs/>
          <w:sz w:val="24"/>
          <w:szCs w:val="24"/>
        </w:rPr>
      </w:r>
      <w:r/>
    </w:p>
    <w:p>
      <w:pPr>
        <w:pStyle w:val="797"/>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pStyle w:val="797"/>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pStyle w:val="797"/>
        <w:spacing w:line="440" w:lineRule="exact"/>
        <w:rPr>
          <w:rFonts w:hint="eastAsia" w:ascii="宋体" w:hAnsi="宋体" w:eastAsia="宋体" w:cs="宋体"/>
          <w:sz w:val="24"/>
          <w:szCs w:val="24"/>
        </w:rPr>
        <w:outlineLvl w:val="0"/>
      </w:pPr>
      <w:r/>
      <w:bookmarkStart w:id="160" w:name="_Toc20595"/>
      <w:r/>
      <w:bookmarkStart w:id="161" w:name="_Toc12582"/>
      <w:r/>
      <w:bookmarkStart w:id="162" w:name="_Toc2088"/>
      <w:r>
        <w:rPr>
          <w:rFonts w:hint="eastAsia" w:ascii="宋体" w:hAnsi="宋体" w:eastAsia="宋体" w:cs="宋体"/>
          <w:b/>
          <w:sz w:val="24"/>
          <w:szCs w:val="24"/>
        </w:rPr>
        <w:t xml:space="preserve">附件6</w:t>
      </w:r>
      <w:r>
        <w:rPr>
          <w:rFonts w:hint="eastAsia" w:ascii="宋体" w:hAnsi="宋体" w:eastAsia="宋体" w:cs="宋体"/>
          <w:sz w:val="24"/>
          <w:szCs w:val="24"/>
        </w:rPr>
        <w:t xml:space="preserve">：</w:t>
      </w:r>
      <w:bookmarkEnd w:id="160"/>
      <w:r/>
      <w:bookmarkEnd w:id="161"/>
      <w:r/>
      <w:bookmarkEnd w:id="162"/>
      <w:r>
        <w:rPr>
          <w:rFonts w:hint="eastAsia" w:ascii="宋体" w:hAnsi="宋体" w:eastAsia="宋体" w:cs="宋体"/>
          <w:sz w:val="24"/>
          <w:szCs w:val="24"/>
        </w:rPr>
      </w:r>
      <w:r/>
    </w:p>
    <w:p>
      <w:pPr>
        <w:pStyle w:val="855"/>
        <w:ind w:firstLine="0"/>
        <w:jc w:val="center"/>
        <w:spacing w:after="143"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参加政府采购活动前3年内在经营活动中没有重大违法记录的书面声明（参考格式） </w:t>
      </w:r>
      <w:r>
        <w:rPr>
          <w:rFonts w:hint="eastAsia" w:ascii="宋体" w:hAnsi="宋体" w:eastAsia="宋体" w:cs="宋体"/>
          <w:sz w:val="24"/>
          <w:szCs w:val="24"/>
        </w:rPr>
      </w:r>
      <w:r/>
    </w:p>
    <w:p>
      <w:pPr>
        <w:pStyle w:val="851"/>
        <w:ind w:firstLine="0"/>
        <w:spacing w:before="0" w:after="0" w:line="420" w:lineRule="exact"/>
        <w:rPr>
          <w:rFonts w:hint="eastAsia" w:ascii="宋体" w:hAnsi="宋体" w:eastAsia="宋体" w:cs="宋体"/>
          <w:sz w:val="24"/>
          <w:szCs w:val="24"/>
        </w:rPr>
      </w:pPr>
      <w:r>
        <w:rPr>
          <w:rFonts w:hint="eastAsia" w:ascii="宋体" w:hAnsi="宋体" w:eastAsia="宋体" w:cs="宋体"/>
          <w:sz w:val="24"/>
          <w:szCs w:val="24"/>
        </w:rPr>
      </w:r>
      <w:r/>
    </w:p>
    <w:p>
      <w:pPr>
        <w:pStyle w:val="851"/>
        <w:ind w:firstLine="0"/>
        <w:jc w:val="center"/>
        <w:spacing w:before="0" w:after="0" w:line="420" w:lineRule="exact"/>
        <w:rPr>
          <w:rFonts w:hint="eastAsia" w:ascii="宋体" w:hAnsi="宋体" w:eastAsia="宋体" w:cs="宋体"/>
          <w:b/>
          <w:sz w:val="24"/>
          <w:szCs w:val="24"/>
        </w:rPr>
      </w:pPr>
      <w:r>
        <w:rPr>
          <w:rFonts w:hint="eastAsia" w:ascii="宋体" w:hAnsi="宋体" w:eastAsia="宋体" w:cs="宋体"/>
          <w:b/>
          <w:sz w:val="24"/>
          <w:szCs w:val="24"/>
        </w:rPr>
        <w:t xml:space="preserve">声 明</w:t>
      </w:r>
      <w:r>
        <w:rPr>
          <w:rFonts w:hint="eastAsia" w:ascii="宋体" w:hAnsi="宋体" w:eastAsia="宋体" w:cs="宋体"/>
          <w:b/>
          <w:sz w:val="24"/>
          <w:szCs w:val="24"/>
        </w:rPr>
      </w:r>
      <w:r/>
    </w:p>
    <w:p>
      <w:pPr>
        <w:pStyle w:val="851"/>
        <w:ind w:firstLine="475"/>
        <w:spacing w:before="0" w:after="0" w:line="420" w:lineRule="exact"/>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我公司郑重声明：参加本次政府采购活动前3年内，我公司在经营活动中没有因违法经营受到刑事处罚或者责令停产停业、吊销许可证或者执照、较大数额罚款等行政处罚。 </w:t>
      </w:r>
      <w:r>
        <w:rPr>
          <w:rFonts w:hint="eastAsia" w:ascii="宋体" w:hAnsi="宋体" w:eastAsia="宋体" w:cs="宋体"/>
          <w:sz w:val="24"/>
          <w:szCs w:val="24"/>
        </w:rPr>
      </w:r>
      <w:r/>
    </w:p>
    <w:p>
      <w:pPr>
        <w:pStyle w:val="851"/>
        <w:ind w:firstLine="0"/>
        <w:jc w:val="right"/>
        <w:spacing w:before="0" w:after="0" w:line="420" w:lineRule="exact"/>
        <w:rPr>
          <w:rFonts w:hint="eastAsia" w:ascii="宋体" w:hAnsi="宋体" w:eastAsia="宋体" w:cs="宋体"/>
          <w:sz w:val="24"/>
          <w:szCs w:val="24"/>
        </w:rPr>
      </w:pPr>
      <w:r>
        <w:rPr>
          <w:rFonts w:hint="eastAsia" w:ascii="宋体" w:hAnsi="宋体" w:eastAsia="宋体" w:cs="宋体"/>
          <w:sz w:val="24"/>
          <w:szCs w:val="24"/>
        </w:rPr>
      </w:r>
      <w:r/>
    </w:p>
    <w:p>
      <w:pPr>
        <w:pStyle w:val="851"/>
        <w:ind w:firstLine="0"/>
        <w:jc w:val="right"/>
        <w:spacing w:before="0" w:after="0" w:line="420" w:lineRule="exact"/>
        <w:rPr>
          <w:rFonts w:hint="eastAsia" w:ascii="宋体" w:hAnsi="宋体" w:eastAsia="宋体" w:cs="宋体"/>
          <w:sz w:val="24"/>
          <w:szCs w:val="24"/>
        </w:rPr>
      </w:pPr>
      <w:r>
        <w:rPr>
          <w:rFonts w:hint="eastAsia" w:ascii="宋体" w:hAnsi="宋体" w:eastAsia="宋体" w:cs="宋体"/>
          <w:sz w:val="24"/>
          <w:szCs w:val="24"/>
        </w:rPr>
      </w:r>
      <w:r/>
    </w:p>
    <w:p>
      <w:pPr>
        <w:pStyle w:val="851"/>
        <w:ind w:firstLine="0"/>
        <w:jc w:val="right"/>
        <w:spacing w:before="0" w:after="0" w:line="420" w:lineRule="exact"/>
        <w:rPr>
          <w:rFonts w:hint="eastAsia" w:ascii="宋体" w:hAnsi="宋体" w:eastAsia="宋体" w:cs="宋体"/>
          <w:sz w:val="24"/>
          <w:szCs w:val="24"/>
        </w:rPr>
      </w:pPr>
      <w:r>
        <w:rPr>
          <w:rFonts w:hint="eastAsia" w:ascii="宋体" w:hAnsi="宋体" w:eastAsia="宋体" w:cs="宋体"/>
          <w:sz w:val="24"/>
          <w:szCs w:val="24"/>
        </w:rPr>
      </w:r>
      <w:r/>
    </w:p>
    <w:p>
      <w:pPr>
        <w:pStyle w:val="851"/>
        <w:ind w:firstLine="0"/>
        <w:jc w:val="center"/>
        <w:spacing w:before="0" w:after="0" w:line="420" w:lineRule="exact"/>
        <w:rPr>
          <w:rFonts w:hint="eastAsia" w:ascii="宋体" w:hAnsi="宋体" w:eastAsia="宋体" w:cs="宋体"/>
          <w:sz w:val="24"/>
          <w:szCs w:val="24"/>
        </w:rPr>
      </w:pPr>
      <w:r>
        <w:rPr>
          <w:rFonts w:hint="eastAsia" w:ascii="宋体" w:hAnsi="宋体" w:eastAsia="宋体" w:cs="宋体"/>
          <w:sz w:val="24"/>
          <w:szCs w:val="24"/>
        </w:rPr>
        <w:t xml:space="preserve">                      供应商名称（公章）： </w:t>
      </w:r>
      <w:r>
        <w:rPr>
          <w:rFonts w:hint="eastAsia" w:ascii="宋体" w:hAnsi="宋体" w:eastAsia="宋体" w:cs="宋体"/>
          <w:sz w:val="24"/>
          <w:szCs w:val="24"/>
        </w:rPr>
      </w:r>
      <w:r/>
    </w:p>
    <w:p>
      <w:pPr>
        <w:pStyle w:val="851"/>
        <w:ind w:firstLine="0"/>
        <w:jc w:val="right"/>
        <w:spacing w:before="0" w:after="0" w:line="420" w:lineRule="exact"/>
        <w:rPr>
          <w:rFonts w:hint="eastAsia" w:ascii="宋体" w:hAnsi="宋体" w:eastAsia="宋体" w:cs="宋体"/>
          <w:sz w:val="24"/>
          <w:szCs w:val="24"/>
        </w:rPr>
      </w:pPr>
      <w:r>
        <w:rPr>
          <w:rFonts w:hint="eastAsia" w:ascii="宋体" w:hAnsi="宋体" w:eastAsia="宋体" w:cs="宋体"/>
          <w:sz w:val="24"/>
          <w:szCs w:val="24"/>
        </w:rPr>
      </w:r>
      <w:r/>
    </w:p>
    <w:p>
      <w:pPr>
        <w:pStyle w:val="851"/>
        <w:ind w:right="600" w:firstLine="4200"/>
        <w:spacing w:before="0" w:after="0" w:line="420" w:lineRule="exact"/>
        <w:rPr>
          <w:rFonts w:hint="eastAsia" w:ascii="宋体" w:hAnsi="宋体" w:eastAsia="宋体" w:cs="宋体"/>
          <w:sz w:val="24"/>
          <w:szCs w:val="24"/>
        </w:rPr>
      </w:pPr>
      <w:r>
        <w:rPr>
          <w:rFonts w:hint="eastAsia" w:ascii="宋体" w:hAnsi="宋体" w:eastAsia="宋体" w:cs="宋体"/>
          <w:sz w:val="24"/>
          <w:szCs w:val="24"/>
        </w:rPr>
        <w:t xml:space="preserve">法定代表人（授权代表）签字： </w:t>
      </w:r>
      <w:r>
        <w:rPr>
          <w:rFonts w:hint="eastAsia" w:ascii="宋体" w:hAnsi="宋体" w:eastAsia="宋体" w:cs="宋体"/>
          <w:sz w:val="24"/>
          <w:szCs w:val="24"/>
        </w:rPr>
      </w:r>
      <w:r/>
    </w:p>
    <w:p>
      <w:pPr>
        <w:pStyle w:val="851"/>
        <w:ind w:firstLine="0"/>
        <w:jc w:val="right"/>
        <w:spacing w:before="0" w:after="0" w:line="420" w:lineRule="exact"/>
        <w:rPr>
          <w:rFonts w:hint="eastAsia" w:ascii="宋体" w:hAnsi="宋体" w:eastAsia="宋体" w:cs="宋体"/>
          <w:sz w:val="24"/>
          <w:szCs w:val="24"/>
        </w:rPr>
      </w:pPr>
      <w:r>
        <w:rPr>
          <w:rFonts w:hint="eastAsia" w:ascii="宋体" w:hAnsi="宋体" w:eastAsia="宋体" w:cs="宋体"/>
          <w:sz w:val="24"/>
          <w:szCs w:val="24"/>
        </w:rPr>
      </w:r>
      <w:r/>
    </w:p>
    <w:p>
      <w:pPr>
        <w:pStyle w:val="851"/>
        <w:ind w:firstLine="0"/>
        <w:jc w:val="right"/>
        <w:spacing w:before="0" w:after="0" w:line="420" w:lineRule="exact"/>
        <w:rPr>
          <w:rFonts w:hint="eastAsia" w:ascii="宋体" w:hAnsi="宋体" w:eastAsia="宋体" w:cs="宋体"/>
          <w:sz w:val="24"/>
          <w:szCs w:val="24"/>
        </w:rPr>
      </w:pPr>
      <w:r>
        <w:rPr>
          <w:rFonts w:hint="eastAsia" w:ascii="宋体" w:hAnsi="宋体" w:eastAsia="宋体" w:cs="宋体"/>
          <w:sz w:val="24"/>
          <w:szCs w:val="24"/>
        </w:rPr>
      </w:r>
      <w:r/>
    </w:p>
    <w:p>
      <w:pPr>
        <w:pStyle w:val="851"/>
        <w:ind w:firstLine="480"/>
        <w:jc w:val="right"/>
        <w:spacing w:before="0" w:after="0" w:line="420" w:lineRule="exact"/>
        <w:rPr>
          <w:rFonts w:hint="eastAsia" w:ascii="宋体" w:hAnsi="宋体" w:eastAsia="宋体" w:cs="宋体"/>
          <w:sz w:val="24"/>
          <w:szCs w:val="24"/>
        </w:rPr>
      </w:pPr>
      <w:r>
        <w:rPr>
          <w:rFonts w:hint="eastAsia" w:ascii="宋体" w:hAnsi="宋体" w:eastAsia="宋体" w:cs="宋体"/>
          <w:sz w:val="24"/>
          <w:szCs w:val="24"/>
        </w:rPr>
        <w:t xml:space="preserve">日    期：       年    月    日                        </w:t>
      </w:r>
      <w:r>
        <w:rPr>
          <w:rFonts w:hint="eastAsia" w:ascii="宋体" w:hAnsi="宋体" w:eastAsia="宋体" w:cs="宋体"/>
          <w:sz w:val="24"/>
          <w:szCs w:val="24"/>
        </w:rPr>
      </w:r>
      <w:r/>
    </w:p>
    <w:p>
      <w:pPr>
        <w:pStyle w:val="79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11"/>
        <w:rPr>
          <w:rFonts w:hint="eastAsia" w:ascii="宋体" w:hAnsi="宋体" w:eastAsia="宋体" w:cs="宋体"/>
          <w:sz w:val="24"/>
          <w:szCs w:val="24"/>
        </w:rPr>
      </w:pP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97"/>
        <w:ind w:firstLine="1800"/>
        <w:rPr>
          <w:rFonts w:hint="eastAsia" w:ascii="宋体" w:hAnsi="宋体" w:eastAsia="宋体" w:cs="宋体"/>
          <w:sz w:val="24"/>
          <w:szCs w:val="24"/>
        </w:rPr>
      </w:pPr>
      <w:r>
        <w:rPr>
          <w:rFonts w:hint="eastAsia" w:ascii="宋体" w:hAnsi="宋体" w:eastAsia="宋体" w:cs="宋体"/>
          <w:sz w:val="24"/>
          <w:szCs w:val="24"/>
        </w:rPr>
      </w:r>
      <w:r/>
    </w:p>
    <w:p>
      <w:pPr>
        <w:pStyle w:val="811"/>
        <w:rPr>
          <w:rFonts w:hint="eastAsia" w:ascii="宋体" w:hAnsi="宋体" w:eastAsia="宋体" w:cs="宋体"/>
          <w:sz w:val="24"/>
          <w:szCs w:val="24"/>
        </w:rPr>
      </w:pPr>
      <w:r>
        <w:rPr>
          <w:rFonts w:hint="eastAsia" w:ascii="宋体" w:hAnsi="宋体" w:eastAsia="宋体" w:cs="宋体"/>
          <w:sz w:val="24"/>
          <w:szCs w:val="24"/>
        </w:rPr>
      </w:r>
      <w:r/>
    </w:p>
    <w:p>
      <w:pPr>
        <w:pStyle w:val="797"/>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附件7：</w:t>
      </w:r>
      <w:r>
        <w:rPr>
          <w:rFonts w:hint="eastAsia" w:ascii="宋体" w:hAnsi="宋体" w:eastAsia="宋体" w:cs="宋体"/>
          <w:b/>
          <w:bCs/>
          <w:sz w:val="24"/>
          <w:szCs w:val="24"/>
        </w:rPr>
      </w:r>
      <w:r/>
    </w:p>
    <w:p>
      <w:pPr>
        <w:pStyle w:val="797"/>
        <w:ind w:firstLine="482"/>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bidi="ar"/>
        </w:rPr>
        <w:t xml:space="preserve">小微企业声明函</w:t>
      </w:r>
      <w:r>
        <w:rPr>
          <w:rFonts w:hint="eastAsia" w:ascii="宋体" w:hAnsi="宋体" w:eastAsia="宋体" w:cs="宋体"/>
          <w:bCs/>
          <w:sz w:val="24"/>
          <w:szCs w:val="24"/>
        </w:rPr>
      </w:r>
      <w:r/>
    </w:p>
    <w:p>
      <w:pPr>
        <w:pStyle w:val="797"/>
        <w:ind w:firstLine="480"/>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r>
      <w:r/>
    </w:p>
    <w:p>
      <w:pPr>
        <w:pStyle w:val="797"/>
        <w:ind w:firstLine="480"/>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本公司郑重声明，根据《政府采购促进中小企业发展管理办法》（财库﹝2020﹞46 号）的规定，本公司参加</w:t>
      </w:r>
      <w:r>
        <w:rPr>
          <w:rFonts w:hint="eastAsia" w:ascii="宋体" w:hAnsi="宋体" w:eastAsia="宋体" w:cs="宋体"/>
          <w:i/>
          <w:sz w:val="24"/>
          <w:szCs w:val="24"/>
          <w:u w:val="single"/>
          <w:lang w:bidi="ar"/>
        </w:rPr>
        <w:t xml:space="preserve">（单位名称）</w:t>
      </w:r>
      <w:r>
        <w:rPr>
          <w:rFonts w:hint="eastAsia" w:ascii="宋体" w:hAnsi="宋体" w:eastAsia="宋体" w:cs="宋体"/>
          <w:sz w:val="24"/>
          <w:szCs w:val="24"/>
          <w:lang w:bidi="ar"/>
        </w:rPr>
        <w:t xml:space="preserve">的</w:t>
      </w:r>
      <w:r>
        <w:rPr>
          <w:rFonts w:hint="eastAsia" w:ascii="宋体" w:hAnsi="宋体" w:eastAsia="宋体" w:cs="宋体"/>
          <w:i/>
          <w:sz w:val="24"/>
          <w:szCs w:val="24"/>
          <w:u w:val="single"/>
          <w:lang w:bidi="ar"/>
        </w:rPr>
        <w:t xml:space="preserve">（项目名称）</w:t>
      </w:r>
      <w:r>
        <w:rPr>
          <w:rFonts w:hint="eastAsia" w:ascii="宋体" w:hAnsi="宋体" w:eastAsia="宋体" w:cs="宋体"/>
          <w:sz w:val="24"/>
          <w:szCs w:val="24"/>
          <w:lang w:bidi="ar"/>
        </w:rPr>
        <w:t xml:space="preserve">采购活动，服务全部由符合政策要求的小微企业承接。相关企业的具体情况如下：</w:t>
      </w:r>
      <w:r>
        <w:rPr>
          <w:rFonts w:hint="eastAsia" w:ascii="宋体" w:hAnsi="宋体" w:eastAsia="宋体" w:cs="宋体"/>
          <w:sz w:val="24"/>
          <w:szCs w:val="24"/>
        </w:rPr>
      </w:r>
      <w:r/>
    </w:p>
    <w:p>
      <w:pPr>
        <w:pStyle w:val="797"/>
        <w:ind w:firstLine="480"/>
        <w:jc w:val="left"/>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 </w:t>
      </w:r>
      <w:r>
        <w:rPr>
          <w:rFonts w:hint="eastAsia" w:ascii="宋体" w:hAnsi="宋体" w:eastAsia="宋体" w:cs="宋体"/>
          <w:i/>
          <w:sz w:val="24"/>
          <w:szCs w:val="24"/>
          <w:u w:val="single"/>
          <w:lang w:bidi="ar"/>
        </w:rPr>
        <w:t xml:space="preserve">（标的名称） </w:t>
      </w:r>
      <w:r>
        <w:rPr>
          <w:rFonts w:hint="eastAsia" w:ascii="宋体" w:hAnsi="宋体" w:eastAsia="宋体" w:cs="宋体"/>
          <w:sz w:val="24"/>
          <w:szCs w:val="24"/>
          <w:lang w:bidi="ar"/>
        </w:rPr>
        <w:t xml:space="preserve">，属于</w:t>
      </w:r>
      <w:r>
        <w:rPr>
          <w:rFonts w:hint="eastAsia" w:ascii="宋体" w:hAnsi="宋体" w:eastAsia="宋体" w:cs="宋体"/>
          <w:i/>
          <w:sz w:val="24"/>
          <w:szCs w:val="24"/>
          <w:u w:val="single"/>
          <w:lang w:bidi="ar"/>
        </w:rPr>
        <w:t xml:space="preserve">（其他未列明行业）</w:t>
      </w:r>
      <w:r>
        <w:rPr>
          <w:rFonts w:hint="eastAsia" w:ascii="宋体" w:hAnsi="宋体" w:eastAsia="宋体" w:cs="宋体"/>
          <w:sz w:val="24"/>
          <w:szCs w:val="24"/>
          <w:lang w:bidi="ar"/>
        </w:rPr>
        <w:t xml:space="preserve">；承接企业为</w:t>
      </w:r>
      <w:r>
        <w:rPr>
          <w:rFonts w:hint="eastAsia" w:ascii="宋体" w:hAnsi="宋体" w:eastAsia="宋体" w:cs="宋体"/>
          <w:i/>
          <w:sz w:val="24"/>
          <w:szCs w:val="24"/>
          <w:u w:val="single"/>
          <w:lang w:bidi="ar"/>
        </w:rPr>
        <w:t xml:space="preserve">（企业名称）</w:t>
      </w:r>
      <w:r>
        <w:rPr>
          <w:rFonts w:hint="eastAsia" w:ascii="宋体" w:hAnsi="宋体" w:eastAsia="宋体" w:cs="宋体"/>
          <w:sz w:val="24"/>
          <w:szCs w:val="24"/>
          <w:lang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人，营业收入为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万元，资产总额为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万元，属于</w:t>
      </w:r>
      <w:r>
        <w:rPr>
          <w:rFonts w:hint="eastAsia" w:ascii="宋体" w:hAnsi="宋体" w:eastAsia="宋体" w:cs="宋体"/>
          <w:i/>
          <w:sz w:val="24"/>
          <w:szCs w:val="24"/>
          <w:u w:val="single"/>
          <w:lang w:bidi="ar"/>
        </w:rPr>
        <w:t xml:space="preserve">（ 小型企业、微型企业）</w:t>
      </w:r>
      <w:r>
        <w:rPr>
          <w:rFonts w:hint="eastAsia" w:ascii="宋体" w:hAnsi="宋体" w:eastAsia="宋体" w:cs="宋体"/>
          <w:sz w:val="24"/>
          <w:szCs w:val="24"/>
          <w:lang w:bidi="ar"/>
        </w:rPr>
        <w:t xml:space="preserve">； </w:t>
      </w:r>
      <w:r>
        <w:rPr>
          <w:rFonts w:hint="eastAsia" w:ascii="宋体" w:hAnsi="宋体" w:eastAsia="宋体" w:cs="宋体"/>
          <w:sz w:val="24"/>
          <w:szCs w:val="24"/>
        </w:rPr>
      </w:r>
      <w:r/>
    </w:p>
    <w:p>
      <w:pPr>
        <w:pStyle w:val="797"/>
        <w:ind w:firstLine="480"/>
        <w:jc w:val="left"/>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797"/>
        <w:ind w:firstLine="480"/>
        <w:jc w:val="left"/>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本企业对上述声明内容的真实性负责。如有虚假，将依法承担相应责任。 </w:t>
      </w:r>
      <w:r>
        <w:rPr>
          <w:rFonts w:hint="eastAsia" w:ascii="宋体" w:hAnsi="宋体" w:eastAsia="宋体" w:cs="宋体"/>
          <w:sz w:val="24"/>
          <w:szCs w:val="24"/>
        </w:rPr>
      </w:r>
      <w:r/>
    </w:p>
    <w:p>
      <w:pPr>
        <w:pStyle w:val="797"/>
        <w:jc w:val="left"/>
        <w:spacing w:line="48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                                          </w:t>
      </w:r>
      <w:r>
        <w:rPr>
          <w:rFonts w:hint="eastAsia" w:ascii="宋体" w:hAnsi="宋体" w:eastAsia="宋体" w:cs="宋体"/>
          <w:sz w:val="24"/>
          <w:szCs w:val="24"/>
          <w:lang w:bidi="ar"/>
        </w:rPr>
      </w:r>
      <w:r/>
    </w:p>
    <w:p>
      <w:pPr>
        <w:pStyle w:val="797"/>
        <w:jc w:val="left"/>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                                          企业名称（盖章）： </w:t>
      </w:r>
      <w:r>
        <w:rPr>
          <w:rFonts w:hint="eastAsia" w:ascii="宋体" w:hAnsi="宋体" w:eastAsia="宋体" w:cs="宋体"/>
          <w:sz w:val="24"/>
          <w:szCs w:val="24"/>
        </w:rPr>
      </w:r>
      <w:r/>
    </w:p>
    <w:p>
      <w:pPr>
        <w:pStyle w:val="797"/>
        <w:ind w:firstLine="480"/>
        <w:jc w:val="left"/>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                                      日 期：</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月</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日</w:t>
      </w:r>
      <w:r>
        <w:rPr>
          <w:rFonts w:hint="eastAsia" w:ascii="宋体" w:hAnsi="宋体" w:eastAsia="宋体" w:cs="宋体"/>
          <w:sz w:val="24"/>
          <w:szCs w:val="24"/>
        </w:rPr>
      </w:r>
      <w:r/>
    </w:p>
    <w:p>
      <w:pPr>
        <w:pStyle w:val="797"/>
        <w:ind w:firstLine="482"/>
        <w:jc w:val="left"/>
        <w:spacing w:line="48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注：（1）从业人员、营业收入、资产总额填报上一年度数据，无上一年度数据的新成立企业可不填报。</w:t>
      </w:r>
      <w:r>
        <w:rPr>
          <w:rFonts w:hint="eastAsia" w:ascii="宋体" w:hAnsi="宋体" w:eastAsia="宋体" w:cs="宋体"/>
          <w:b/>
          <w:bCs/>
          <w:sz w:val="24"/>
          <w:szCs w:val="24"/>
          <w:lang w:bidi="ar"/>
        </w:rPr>
      </w:r>
      <w:r/>
    </w:p>
    <w:p>
      <w:pPr>
        <w:pStyle w:val="797"/>
        <w:ind w:firstLine="480"/>
        <w:jc w:val="left"/>
        <w:spacing w:line="48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（2）企业类型请供应商参照《关于印发中小企业划型标准规定的通知》（工信部联企业[2011]300号）文件规定自行填写。</w:t>
      </w:r>
      <w:r>
        <w:rPr>
          <w:rFonts w:hint="eastAsia" w:ascii="宋体" w:hAnsi="宋体" w:eastAsia="宋体" w:cs="宋体"/>
          <w:b/>
          <w:bCs/>
          <w:sz w:val="24"/>
          <w:szCs w:val="24"/>
        </w:rPr>
      </w:r>
      <w:r/>
    </w:p>
    <w:p>
      <w:pPr>
        <w:pStyle w:val="797"/>
        <w:ind w:firstLine="480"/>
        <w:jc w:val="left"/>
        <w:spacing w:line="480" w:lineRule="auto"/>
        <w:widowControl/>
        <w:rPr>
          <w:rFonts w:hint="eastAsia" w:ascii="宋体" w:hAnsi="宋体" w:eastAsia="宋体" w:cs="宋体"/>
          <w:sz w:val="24"/>
          <w:szCs w:val="24"/>
        </w:rPr>
      </w:pPr>
      <w:r>
        <w:rPr>
          <w:rFonts w:hint="eastAsia" w:ascii="宋体" w:hAnsi="宋体" w:eastAsia="宋体" w:cs="宋体"/>
          <w:b/>
          <w:bCs/>
          <w:iCs/>
          <w:sz w:val="24"/>
          <w:szCs w:val="24"/>
          <w:lang w:bidi="ar"/>
        </w:rPr>
        <w:t xml:space="preserve">（3）</w:t>
      </w:r>
      <w:r>
        <w:rPr>
          <w:rFonts w:hint="eastAsia" w:ascii="宋体" w:hAnsi="宋体" w:eastAsia="宋体" w:cs="宋体"/>
          <w:b/>
          <w:bCs/>
          <w:sz w:val="24"/>
          <w:szCs w:val="24"/>
          <w:lang w:bidi="ar"/>
        </w:rPr>
        <w:t xml:space="preserve">供应商如不提供符合要求的小微企业声明函，价格将不做相应扣除。</w:t>
      </w:r>
      <w:r>
        <w:rPr>
          <w:rFonts w:hint="eastAsia" w:ascii="宋体" w:hAnsi="宋体" w:eastAsia="宋体" w:cs="宋体"/>
          <w:sz w:val="24"/>
          <w:szCs w:val="24"/>
        </w:rPr>
      </w:r>
      <w:r/>
    </w:p>
    <w:p>
      <w:pPr>
        <w:pStyle w:val="797"/>
        <w:ind w:left="506"/>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97"/>
        <w:rPr>
          <w:rFonts w:hint="eastAsia" w:ascii="宋体" w:hAnsi="宋体" w:eastAsia="宋体" w:cs="宋体"/>
          <w:iCs/>
          <w:sz w:val="24"/>
          <w:szCs w:val="24"/>
        </w:rPr>
      </w:pPr>
      <w:r>
        <w:rPr>
          <w:rFonts w:hint="eastAsia" w:ascii="宋体" w:hAnsi="宋体" w:eastAsia="宋体" w:cs="宋体"/>
          <w:iCs/>
          <w:sz w:val="24"/>
          <w:szCs w:val="24"/>
        </w:rPr>
      </w:r>
      <w:r/>
    </w:p>
    <w:p>
      <w:pPr>
        <w:pStyle w:val="797"/>
        <w:rPr>
          <w:rFonts w:hint="eastAsia" w:ascii="宋体" w:hAnsi="宋体" w:eastAsia="宋体" w:cs="宋体"/>
          <w:iCs/>
          <w:sz w:val="24"/>
          <w:szCs w:val="24"/>
        </w:rPr>
      </w:pPr>
      <w:r>
        <w:rPr>
          <w:rFonts w:hint="eastAsia" w:ascii="宋体" w:hAnsi="宋体" w:eastAsia="宋体" w:cs="宋体"/>
          <w:iCs/>
          <w:sz w:val="24"/>
          <w:szCs w:val="24"/>
        </w:rPr>
      </w:r>
      <w:r/>
    </w:p>
    <w:p>
      <w:pPr>
        <w:pStyle w:val="805"/>
        <w:rPr>
          <w:rFonts w:hint="eastAsia" w:ascii="宋体" w:hAnsi="宋体" w:eastAsia="宋体" w:cs="宋体"/>
          <w:iCs/>
          <w:sz w:val="24"/>
          <w:szCs w:val="24"/>
        </w:rPr>
      </w:pPr>
      <w:r>
        <w:rPr>
          <w:rFonts w:hint="eastAsia" w:ascii="宋体" w:hAnsi="宋体" w:eastAsia="宋体" w:cs="宋体"/>
          <w:iCs/>
          <w:sz w:val="24"/>
          <w:szCs w:val="24"/>
        </w:rPr>
      </w:r>
      <w:r/>
    </w:p>
    <w:p>
      <w:pPr>
        <w:pStyle w:val="797"/>
        <w:spacing w:line="360" w:lineRule="auto"/>
        <w:widowControl/>
        <w:tabs>
          <w:tab w:val="left" w:pos="720" w:leader="none"/>
        </w:tabs>
        <w:rPr>
          <w:rFonts w:hint="eastAsia" w:ascii="宋体" w:hAnsi="宋体" w:eastAsia="宋体" w:cs="宋体"/>
          <w:b/>
          <w:sz w:val="24"/>
          <w:szCs w:val="24"/>
        </w:rPr>
      </w:pPr>
      <w:r>
        <w:rPr>
          <w:rFonts w:hint="eastAsia" w:ascii="宋体" w:hAnsi="宋体" w:eastAsia="宋体" w:cs="宋体"/>
          <w:b/>
          <w:sz w:val="24"/>
          <w:szCs w:val="24"/>
        </w:rPr>
        <w:t xml:space="preserve">附件8：</w:t>
      </w:r>
      <w:r>
        <w:rPr>
          <w:rFonts w:hint="eastAsia" w:ascii="宋体" w:hAnsi="宋体" w:eastAsia="宋体" w:cs="宋体"/>
          <w:b/>
          <w:sz w:val="24"/>
          <w:szCs w:val="24"/>
        </w:rPr>
      </w:r>
      <w:r/>
    </w:p>
    <w:p>
      <w:pPr>
        <w:pStyle w:val="797"/>
        <w:jc w:val="center"/>
        <w:spacing w:line="360" w:lineRule="auto"/>
        <w:widowControl/>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残疾人福利性单位声明函</w:t>
      </w:r>
      <w:r>
        <w:rPr>
          <w:rFonts w:hint="eastAsia" w:ascii="宋体" w:hAnsi="宋体" w:eastAsia="宋体" w:cs="宋体"/>
          <w:bCs/>
          <w:sz w:val="24"/>
          <w:szCs w:val="24"/>
        </w:rPr>
      </w:r>
      <w:r/>
    </w:p>
    <w:p>
      <w:pPr>
        <w:pStyle w:val="797"/>
        <w:ind w:firstLine="56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797"/>
        <w:ind w:firstLine="480"/>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rFonts w:hint="eastAsia" w:ascii="宋体" w:hAnsi="宋体" w:eastAsia="宋体" w:cs="宋体"/>
          <w:sz w:val="24"/>
          <w:szCs w:val="24"/>
        </w:rPr>
      </w:r>
      <w:r/>
    </w:p>
    <w:p>
      <w:pPr>
        <w:pStyle w:val="797"/>
        <w:ind w:firstLine="480"/>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本单位对上述声明的真实性负责。如有虚假，将依法承担相应责任。 </w:t>
      </w:r>
      <w:r>
        <w:rPr>
          <w:rFonts w:hint="eastAsia" w:ascii="宋体" w:hAnsi="宋体" w:eastAsia="宋体" w:cs="宋体"/>
          <w:sz w:val="24"/>
          <w:szCs w:val="24"/>
        </w:rPr>
      </w:r>
      <w:r/>
    </w:p>
    <w:p>
      <w:pPr>
        <w:pStyle w:val="797"/>
        <w:ind w:firstLine="2880"/>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单位名称（盖章）： </w:t>
      </w:r>
      <w:r>
        <w:rPr>
          <w:rFonts w:hint="eastAsia" w:ascii="宋体" w:hAnsi="宋体" w:eastAsia="宋体" w:cs="宋体"/>
          <w:sz w:val="24"/>
          <w:szCs w:val="24"/>
        </w:rPr>
      </w:r>
      <w:r/>
    </w:p>
    <w:p>
      <w:pPr>
        <w:pStyle w:val="797"/>
        <w:ind w:firstLine="480"/>
        <w:jc w:val="left"/>
        <w:spacing w:line="48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                    日 期：</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月</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日</w:t>
      </w:r>
      <w:r>
        <w:rPr>
          <w:rFonts w:hint="eastAsia" w:ascii="宋体" w:hAnsi="宋体" w:eastAsia="宋体" w:cs="宋体"/>
          <w:sz w:val="24"/>
          <w:szCs w:val="24"/>
        </w:rPr>
      </w:r>
      <w:r/>
    </w:p>
    <w:p>
      <w:pPr>
        <w:pStyle w:val="797"/>
        <w:ind w:firstLine="482"/>
        <w:jc w:val="left"/>
        <w:spacing w:line="480"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注：供应商如不提供符合要求的残疾人福利性单位声明函，则价格将不做相应扣除。</w:t>
      </w:r>
      <w:r>
        <w:rPr>
          <w:rFonts w:hint="eastAsia" w:ascii="宋体" w:hAnsi="宋体" w:eastAsia="宋体" w:cs="宋体"/>
          <w:sz w:val="24"/>
          <w:szCs w:val="24"/>
        </w:rPr>
      </w:r>
      <w:r/>
    </w:p>
    <w:p>
      <w:pPr>
        <w:pStyle w:val="797"/>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812"/>
        <w:ind w:firstLine="422"/>
        <w:rPr>
          <w:rFonts w:hint="eastAsia" w:ascii="宋体" w:hAnsi="宋体" w:eastAsia="宋体" w:cs="宋体"/>
          <w:sz w:val="24"/>
          <w:szCs w:val="24"/>
        </w:rPr>
        <w:sectPr>
          <w:headerReference w:type="default" r:id="rId9"/>
          <w:footerReference w:type="default" r:id="rId12"/>
          <w:footerReference w:type="first" r:id="rId13"/>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sz w:val="24"/>
          <w:szCs w:val="24"/>
        </w:rPr>
      </w:r>
      <w:r/>
    </w:p>
    <w:p>
      <w:pPr>
        <w:pStyle w:val="797"/>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附件9：</w:t>
      </w:r>
      <w:r>
        <w:rPr>
          <w:rFonts w:hint="eastAsia" w:ascii="宋体" w:hAnsi="宋体" w:eastAsia="宋体" w:cs="宋体"/>
          <w:b/>
          <w:color w:val="000000"/>
          <w:sz w:val="24"/>
          <w:szCs w:val="24"/>
        </w:rPr>
      </w:r>
      <w:r/>
    </w:p>
    <w:p>
      <w:pPr>
        <w:pStyle w:val="797"/>
        <w:jc w:val="center"/>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声明函</w:t>
      </w:r>
      <w:r>
        <w:rPr>
          <w:rFonts w:hint="eastAsia" w:ascii="宋体" w:hAnsi="宋体" w:eastAsia="宋体" w:cs="宋体"/>
          <w:color w:val="000000"/>
          <w:sz w:val="24"/>
          <w:szCs w:val="24"/>
        </w:rPr>
      </w:r>
      <w:r/>
    </w:p>
    <w:p>
      <w:pPr>
        <w:pStyle w:val="797"/>
        <w:ind w:firstLine="492"/>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97"/>
        <w:ind w:firstLine="492"/>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我单位郑重声明，参加本次招标活动不存在以下情形：与其他供应商单位负责人为同一人或者存在直接控股、管理关系；为本次采购项目提供整体设计、规范编制或者项目管理、监理、检测等服务；</w:t>
      </w:r>
      <w:r>
        <w:rPr>
          <w:rFonts w:hint="eastAsia" w:ascii="宋体" w:hAnsi="宋体" w:eastAsia="宋体" w:cs="宋体"/>
          <w:bCs/>
          <w:color w:val="000000"/>
          <w:sz w:val="24"/>
          <w:szCs w:val="24"/>
        </w:rPr>
      </w:r>
      <w:r/>
    </w:p>
    <w:p>
      <w:pPr>
        <w:pStyle w:val="797"/>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97"/>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97"/>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投标人名称：（加盖公章） </w:t>
      </w:r>
      <w:r>
        <w:rPr>
          <w:rFonts w:hint="eastAsia" w:ascii="宋体" w:hAnsi="宋体" w:eastAsia="宋体" w:cs="宋体"/>
          <w:color w:val="000000"/>
          <w:sz w:val="24"/>
          <w:szCs w:val="24"/>
        </w:rPr>
      </w:r>
      <w:r/>
    </w:p>
    <w:p>
      <w:pPr>
        <w:pStyle w:val="797"/>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797"/>
        <w:spacing w:line="460" w:lineRule="exact"/>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                                     日期：______年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p>
    <w:sectPr>
      <w:headerReference w:type="default" r:id="rId10"/>
      <w:footerReference w:type="default" r:id="rId14"/>
      <w:footerReference w:type="first" r:id="rId15"/>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黑体_GBK">
    <w:panose1 w:val="020B0503020202020204"/>
  </w:font>
  <w:font w:name="方正楷体_GBK">
    <w:panose1 w:val="020B050302020202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Book Antiqua">
    <w:panose1 w:val="020406020503050303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tabs>
        <w:tab w:val="center" w:pos="4153" w:leader="none"/>
        <w:tab w:val="right" w:pos="8306" w:leader="none"/>
      </w:tabs>
    </w:pPr>
    <w:r/>
    <w:r/>
  </w:p>
  <w:p>
    <w:pPr>
      <w:pStyle w:val="82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rPr>
                              <w:rStyle w:val="843"/>
                            </w:rPr>
                          </w:pPr>
                          <w:r>
                            <w:fldChar w:fldCharType="begin"/>
                          </w:r>
                          <w:r>
                            <w:rPr>
                              <w:rStyle w:val="843"/>
                            </w:rPr>
                            <w:instrText xml:space="preserve">PAGE  </w:instrText>
                          </w:r>
                          <w:r>
                            <w:fldChar w:fldCharType="separate"/>
                          </w:r>
                          <w:r>
                            <w:rPr>
                              <w:rStyle w:val="843"/>
                            </w:rPr>
                            <w:t xml:space="preserve">41</w:t>
                          </w:r>
                          <w:r>
                            <w:fldChar w:fldCharType="end"/>
                          </w:r>
                          <w:r>
                            <w:rPr>
                              <w:rStyle w:val="843"/>
                            </w:rPr>
                          </w:r>
                          <w:r/>
                        </w:p>
                        <w:p>
                          <w:pPr>
                            <w:pStyle w:val="7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rPr>
                        <w:rStyle w:val="843"/>
                      </w:rPr>
                    </w:pPr>
                    <w:r>
                      <w:fldChar w:fldCharType="begin"/>
                    </w:r>
                    <w:r>
                      <w:rPr>
                        <w:rStyle w:val="843"/>
                      </w:rPr>
                      <w:instrText xml:space="preserve">PAGE  </w:instrText>
                    </w:r>
                    <w:r>
                      <w:fldChar w:fldCharType="separate"/>
                    </w:r>
                    <w:r>
                      <w:rPr>
                        <w:rStyle w:val="843"/>
                      </w:rPr>
                      <w:t xml:space="preserve">41</w:t>
                    </w:r>
                    <w:r>
                      <w:fldChar w:fldCharType="end"/>
                    </w:r>
                    <w:r>
                      <w:rPr>
                        <w:rStyle w:val="843"/>
                      </w:rPr>
                    </w:r>
                    <w:r/>
                  </w:p>
                  <w:p>
                    <w:pPr>
                      <w:pStyle w:val="79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79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79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center" w:pos="4986" w:leader="none"/>
        <w:tab w:val="right" w:pos="8306" w:leader="none"/>
        <w:tab w:val="right" w:pos="997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rPr>
                              <w:rStyle w:val="843"/>
                            </w:rPr>
                          </w:pPr>
                          <w:r>
                            <w:fldChar w:fldCharType="begin"/>
                          </w:r>
                          <w:r>
                            <w:rPr>
                              <w:rStyle w:val="843"/>
                            </w:rPr>
                            <w:instrText xml:space="preserve">PAGE  </w:instrText>
                          </w:r>
                          <w:r>
                            <w:fldChar w:fldCharType="separate"/>
                          </w:r>
                          <w:r>
                            <w:rPr>
                              <w:rStyle w:val="843"/>
                            </w:rPr>
                            <w:t xml:space="preserve">30</w:t>
                          </w:r>
                          <w:r>
                            <w:fldChar w:fldCharType="end"/>
                          </w:r>
                          <w:r>
                            <w:rPr>
                              <w:rStyle w:val="843"/>
                            </w:rPr>
                          </w:r>
                          <w:r/>
                        </w:p>
                        <w:p>
                          <w:pPr>
                            <w:pStyle w:val="79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rPr>
                        <w:rStyle w:val="843"/>
                      </w:rPr>
                    </w:pPr>
                    <w:r>
                      <w:fldChar w:fldCharType="begin"/>
                    </w:r>
                    <w:r>
                      <w:rPr>
                        <w:rStyle w:val="843"/>
                      </w:rPr>
                      <w:instrText xml:space="preserve">PAGE  </w:instrText>
                    </w:r>
                    <w:r>
                      <w:fldChar w:fldCharType="separate"/>
                    </w:r>
                    <w:r>
                      <w:rPr>
                        <w:rStyle w:val="843"/>
                      </w:rPr>
                      <w:t xml:space="preserve">30</w:t>
                    </w:r>
                    <w:r>
                      <w:fldChar w:fldCharType="end"/>
                    </w:r>
                    <w:r>
                      <w:rPr>
                        <w:rStyle w:val="843"/>
                      </w:rPr>
                    </w:r>
                    <w:r/>
                  </w:p>
                  <w:p>
                    <w:pPr>
                      <w:pStyle w:val="79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center" w:pos="4986" w:leader="none"/>
        <w:tab w:val="right" w:pos="8306" w:leader="none"/>
        <w:tab w:val="right" w:pos="997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rPr>
                              <w:rFonts w:hint="eastAsia"/>
                            </w:rPr>
                          </w:r>
                          <w:r/>
                        </w:p>
                        <w:p>
                          <w:pPr>
                            <w:pStyle w:val="79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rPr>
                        <w:rFonts w:hint="eastAsia"/>
                      </w:rPr>
                    </w:r>
                    <w:r/>
                  </w:p>
                  <w:p>
                    <w:pPr>
                      <w:pStyle w:val="7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left" w:pos="3565" w:leader="none"/>
      </w:tabs>
      <w:rPr>
        <w:rFonts w:hint="eastAsia"/>
        <w:color w:val="000000"/>
      </w:rPr>
      <w:pBdr>
        <w:bottom w:val="none" w:color="000000" w:sz="0" w:space="1"/>
      </w:pBdr>
    </w:pP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left" w:pos="3565" w:leader="none"/>
      </w:tabs>
      <w:rPr>
        <w:rFonts w:hint="eastAsia"/>
        <w:color w:val="000000"/>
      </w:rPr>
      <w:pBdr>
        <w:bottom w:val="none" w:color="000000"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76"/>
      <w:isLgl w:val="false"/>
      <w:suff w:val="tab"/>
      <w:lvlText w:val="附录%1."/>
      <w:lvlJc w:val="left"/>
      <w:pPr>
        <w:pStyle w:val="7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885"/>
      <w:isLgl w:val="false"/>
      <w:suff w:val="tab"/>
      <w:lvlText w:val="第%1章"/>
      <w:lvlJc w:val="left"/>
      <w:pPr>
        <w:pStyle w:val="797"/>
        <w:ind w:left="9351" w:hanging="420"/>
      </w:pPr>
      <w:rPr>
        <w:rFonts w:hint="eastAsia" w:ascii="黑体" w:eastAsia="黑体"/>
        <w:b w:val="0"/>
        <w:sz w:val="36"/>
        <w:lang w:val="en-US"/>
      </w:rPr>
    </w:lvl>
    <w:lvl w:ilvl="1">
      <w:start w:val="1"/>
      <w:numFmt w:val="decimal"/>
      <w:pStyle w:val="884"/>
      <w:isLgl w:val="false"/>
      <w:suff w:val="tab"/>
      <w:lvlText w:val="%1.%2"/>
      <w:lvlJc w:val="left"/>
      <w:pPr>
        <w:pStyle w:val="797"/>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872"/>
      <w:isLgl w:val="false"/>
      <w:suff w:val="tab"/>
      <w:lvlText w:val="%1.%2.%3"/>
      <w:lvlJc w:val="left"/>
      <w:pPr>
        <w:pStyle w:val="797"/>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896"/>
      <w:isLgl w:val="false"/>
      <w:suff w:val="tab"/>
      <w:lvlText w:val="%1.%2.%3.%4"/>
      <w:lvlJc w:val="left"/>
      <w:pPr>
        <w:pStyle w:val="797"/>
        <w:ind w:left="0" w:firstLine="0"/>
        <w:tabs>
          <w:tab w:val="num" w:pos="1134" w:leader="none"/>
        </w:tabs>
      </w:pPr>
      <w:rPr>
        <w:rFonts w:hint="eastAsia"/>
      </w:rPr>
    </w:lvl>
    <w:lvl w:ilvl="4">
      <w:start w:val="1"/>
      <w:numFmt w:val="decimal"/>
      <w:isLgl w:val="false"/>
      <w:suff w:val="tab"/>
      <w:lvlText w:val="%1.%2.%3.%4.%5"/>
      <w:lvlJc w:val="left"/>
      <w:pPr>
        <w:pStyle w:val="797"/>
        <w:ind w:left="4620" w:hanging="850"/>
        <w:tabs>
          <w:tab w:val="num" w:pos="4850" w:leader="none"/>
        </w:tabs>
      </w:pPr>
      <w:rPr>
        <w:rFonts w:hint="eastAsia"/>
      </w:rPr>
    </w:lvl>
    <w:lvl w:ilvl="5">
      <w:start w:val="1"/>
      <w:numFmt w:val="decimal"/>
      <w:isLgl w:val="false"/>
      <w:suff w:val="tab"/>
      <w:lvlText w:val="%1.%2.%3.%4.%5.%6"/>
      <w:lvlJc w:val="left"/>
      <w:pPr>
        <w:pStyle w:val="797"/>
        <w:ind w:left="5329" w:hanging="1134"/>
        <w:tabs>
          <w:tab w:val="num" w:pos="5635" w:leader="none"/>
        </w:tabs>
      </w:pPr>
      <w:rPr>
        <w:rFonts w:hint="eastAsia"/>
      </w:rPr>
    </w:lvl>
    <w:lvl w:ilvl="6">
      <w:start w:val="1"/>
      <w:numFmt w:val="decimal"/>
      <w:isLgl w:val="false"/>
      <w:suff w:val="tab"/>
      <w:lvlText w:val="%1.%2.%3.%4.%5.%6.%7"/>
      <w:lvlJc w:val="left"/>
      <w:pPr>
        <w:pStyle w:val="797"/>
        <w:ind w:left="5896" w:hanging="1276"/>
        <w:tabs>
          <w:tab w:val="num" w:pos="6420" w:leader="none"/>
        </w:tabs>
      </w:pPr>
      <w:rPr>
        <w:rFonts w:hint="eastAsia"/>
      </w:rPr>
    </w:lvl>
    <w:lvl w:ilvl="7">
      <w:start w:val="1"/>
      <w:numFmt w:val="decimal"/>
      <w:isLgl w:val="false"/>
      <w:suff w:val="tab"/>
      <w:lvlText w:val="%1.%2.%3.%4.%5.%6.%7.%8"/>
      <w:lvlJc w:val="left"/>
      <w:pPr>
        <w:pStyle w:val="797"/>
        <w:ind w:left="6463" w:hanging="1418"/>
        <w:tabs>
          <w:tab w:val="num" w:pos="6845" w:leader="none"/>
        </w:tabs>
      </w:pPr>
      <w:rPr>
        <w:rFonts w:hint="eastAsia"/>
      </w:rPr>
    </w:lvl>
    <w:lvl w:ilvl="8">
      <w:start w:val="1"/>
      <w:numFmt w:val="decimal"/>
      <w:isLgl w:val="false"/>
      <w:suff w:val="tab"/>
      <w:lvlText w:val="%1.%2.%3.%4.%5.%6.%7.%8.%9"/>
      <w:lvlJc w:val="left"/>
      <w:pPr>
        <w:pStyle w:val="797"/>
        <w:ind w:left="7171" w:hanging="1700"/>
        <w:tabs>
          <w:tab w:val="num" w:pos="7631" w:leader="none"/>
        </w:tabs>
      </w:pPr>
      <w:rPr>
        <w:rFonts w:hint="eastAsia"/>
      </w:rPr>
    </w:lvl>
  </w:abstractNum>
  <w:abstractNum w:abstractNumId="2">
    <w:multiLevelType w:val="hybridMultilevel"/>
    <w:lvl w:ilvl="0">
      <w:start w:val="1"/>
      <w:numFmt w:val="chineseCounting"/>
      <w:isLgl w:val="false"/>
      <w:suff w:val="space"/>
      <w:lvlText w:val="第%1章"/>
      <w:lvlJc w:val="left"/>
      <w:pPr>
        <w:pStyle w:val="7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97"/>
      </w:pPr>
    </w:lvl>
    <w:lvl w:ilvl="1">
      <w:start w:val="1"/>
      <w:numFmt w:val="decimal"/>
      <w:isLgl w:val="false"/>
      <w:suff w:val="nothing"/>
      <w:lvlText w:val="%2．"/>
      <w:lvlJc w:val="left"/>
      <w:pPr>
        <w:pStyle w:val="797"/>
      </w:pPr>
    </w:lvl>
    <w:lvl w:ilvl="2">
      <w:start w:val="1"/>
      <w:numFmt w:val="decimal"/>
      <w:isLgl w:val="false"/>
      <w:suff w:val="nothing"/>
      <w:lvlText w:val="（%3）"/>
      <w:lvlJc w:val="left"/>
      <w:pPr>
        <w:pStyle w:val="797"/>
      </w:pPr>
    </w:lvl>
    <w:lvl w:ilvl="3">
      <w:start w:val="1"/>
      <w:numFmt w:val="decimalEnclosedCircleChinese"/>
      <w:isLgl w:val="false"/>
      <w:suff w:val="nothing"/>
      <w:lvlText w:val="%4"/>
      <w:lvlJc w:val="left"/>
      <w:pPr>
        <w:pStyle w:val="797"/>
      </w:pPr>
    </w:lvl>
    <w:lvl w:ilvl="4">
      <w:start w:val="1"/>
      <w:numFmt w:val="decimal"/>
      <w:pStyle w:val="892"/>
      <w:isLgl w:val="false"/>
      <w:suff w:val="nothing"/>
      <w:lvlText w:val="%5）"/>
      <w:lvlJc w:val="left"/>
      <w:pPr>
        <w:pStyle w:val="797"/>
      </w:pPr>
    </w:lvl>
    <w:lvl w:ilvl="5">
      <w:start w:val="1"/>
      <w:numFmt w:val="lowerLetter"/>
      <w:isLgl w:val="false"/>
      <w:suff w:val="nothing"/>
      <w:lvlText w:val="%6．"/>
      <w:lvlJc w:val="left"/>
      <w:pPr>
        <w:pStyle w:val="797"/>
      </w:pPr>
    </w:lvl>
    <w:lvl w:ilvl="6">
      <w:start w:val="1"/>
      <w:numFmt w:val="lowerLetter"/>
      <w:isLgl w:val="false"/>
      <w:suff w:val="nothing"/>
      <w:lvlText w:val="%7）"/>
      <w:lvlJc w:val="left"/>
      <w:pPr>
        <w:pStyle w:val="797"/>
      </w:pPr>
    </w:lvl>
    <w:lvl w:ilvl="7">
      <w:start w:val="1"/>
      <w:numFmt w:val="lowerRoman"/>
      <w:isLgl w:val="false"/>
      <w:suff w:val="nothing"/>
      <w:lvlText w:val="%8．"/>
      <w:lvlJc w:val="left"/>
      <w:pPr>
        <w:pStyle w:val="797"/>
      </w:pPr>
    </w:lvl>
    <w:lvl w:ilvl="8">
      <w:start w:val="1"/>
      <w:numFmt w:val="lowerRoman"/>
      <w:isLgl w:val="false"/>
      <w:suff w:val="nothing"/>
      <w:lvlText w:val="%9）"/>
      <w:lvlJc w:val="left"/>
      <w:pPr>
        <w:pStyle w:val="797"/>
      </w:pPr>
    </w:lvl>
  </w:abstractNum>
  <w:abstractNum w:abstractNumId="4">
    <w:multiLevelType w:val="hybridMultilevel"/>
    <w:lvl w:ilvl="0">
      <w:start w:val="1"/>
      <w:numFmt w:val="decimal"/>
      <w:isLgl w:val="false"/>
      <w:suff w:val="tab"/>
      <w:lvlText w:val="%1."/>
      <w:lvlJc w:val="left"/>
      <w:pPr>
        <w:pStyle w:val="797"/>
        <w:ind w:left="720" w:hanging="360"/>
        <w:tabs>
          <w:tab w:val="num" w:pos="720" w:leader="none"/>
        </w:tabs>
      </w:pPr>
      <w:rPr>
        <w:rFonts w:cs="Times New Roman"/>
      </w:rPr>
    </w:lvl>
    <w:lvl w:ilvl="1">
      <w:start w:val="1"/>
      <w:numFmt w:val="decimal"/>
      <w:isLgl w:val="false"/>
      <w:suff w:val="tab"/>
      <w:lvlText w:val="%2."/>
      <w:lvlJc w:val="left"/>
      <w:pPr>
        <w:pStyle w:val="797"/>
        <w:ind w:left="1440" w:hanging="360"/>
        <w:tabs>
          <w:tab w:val="num" w:pos="1440" w:leader="none"/>
        </w:tabs>
      </w:pPr>
      <w:rPr>
        <w:rFonts w:cs="Times New Roman"/>
      </w:rPr>
    </w:lvl>
    <w:lvl w:ilvl="2">
      <w:start w:val="1"/>
      <w:numFmt w:val="decimal"/>
      <w:isLgl w:val="false"/>
      <w:suff w:val="tab"/>
      <w:lvlText w:val="%3."/>
      <w:lvlJc w:val="left"/>
      <w:pPr>
        <w:pStyle w:val="797"/>
        <w:ind w:left="2160" w:hanging="360"/>
        <w:tabs>
          <w:tab w:val="num" w:pos="2160" w:leader="none"/>
        </w:tabs>
      </w:pPr>
      <w:rPr>
        <w:rFonts w:cs="Times New Roman"/>
      </w:rPr>
    </w:lvl>
    <w:lvl w:ilvl="3">
      <w:start w:val="1"/>
      <w:numFmt w:val="decimal"/>
      <w:isLgl w:val="false"/>
      <w:suff w:val="tab"/>
      <w:lvlText w:val="%4."/>
      <w:lvlJc w:val="left"/>
      <w:pPr>
        <w:pStyle w:val="797"/>
        <w:ind w:left="2880" w:hanging="360"/>
        <w:tabs>
          <w:tab w:val="num" w:pos="2880" w:leader="none"/>
        </w:tabs>
      </w:pPr>
      <w:rPr>
        <w:rFonts w:cs="Times New Roman"/>
      </w:rPr>
    </w:lvl>
    <w:lvl w:ilvl="4">
      <w:start w:val="1"/>
      <w:numFmt w:val="decimal"/>
      <w:isLgl w:val="false"/>
      <w:suff w:val="tab"/>
      <w:lvlText w:val="%5."/>
      <w:lvlJc w:val="left"/>
      <w:pPr>
        <w:pStyle w:val="797"/>
        <w:ind w:left="3600" w:hanging="360"/>
        <w:tabs>
          <w:tab w:val="num" w:pos="3600" w:leader="none"/>
        </w:tabs>
      </w:pPr>
      <w:rPr>
        <w:rFonts w:cs="Times New Roman"/>
      </w:rPr>
    </w:lvl>
    <w:lvl w:ilvl="5">
      <w:start w:val="1"/>
      <w:numFmt w:val="decimal"/>
      <w:isLgl w:val="false"/>
      <w:suff w:val="tab"/>
      <w:lvlText w:val="%6."/>
      <w:lvlJc w:val="left"/>
      <w:pPr>
        <w:pStyle w:val="797"/>
        <w:ind w:left="4320" w:hanging="360"/>
        <w:tabs>
          <w:tab w:val="num" w:pos="4320" w:leader="none"/>
        </w:tabs>
      </w:pPr>
      <w:rPr>
        <w:rFonts w:cs="Times New Roman"/>
      </w:rPr>
    </w:lvl>
    <w:lvl w:ilvl="6">
      <w:start w:val="1"/>
      <w:numFmt w:val="decimal"/>
      <w:isLgl w:val="false"/>
      <w:suff w:val="tab"/>
      <w:lvlText w:val="%7."/>
      <w:lvlJc w:val="left"/>
      <w:pPr>
        <w:pStyle w:val="797"/>
        <w:ind w:left="5040" w:hanging="360"/>
        <w:tabs>
          <w:tab w:val="num" w:pos="5040" w:leader="none"/>
        </w:tabs>
      </w:pPr>
      <w:rPr>
        <w:rFonts w:cs="Times New Roman"/>
      </w:rPr>
    </w:lvl>
    <w:lvl w:ilvl="7">
      <w:start w:val="1"/>
      <w:numFmt w:val="decimal"/>
      <w:isLgl w:val="false"/>
      <w:suff w:val="tab"/>
      <w:lvlText w:val="%8."/>
      <w:lvlJc w:val="left"/>
      <w:pPr>
        <w:pStyle w:val="797"/>
        <w:ind w:left="5760" w:hanging="360"/>
        <w:tabs>
          <w:tab w:val="num" w:pos="5760" w:leader="none"/>
        </w:tabs>
      </w:pPr>
      <w:rPr>
        <w:rFonts w:cs="Times New Roman"/>
      </w:rPr>
    </w:lvl>
    <w:lvl w:ilvl="8">
      <w:start w:val="1"/>
      <w:numFmt w:val="decimal"/>
      <w:isLgl w:val="false"/>
      <w:suff w:val="tab"/>
      <w:lvlText w:val="%9."/>
      <w:lvlJc w:val="left"/>
      <w:pPr>
        <w:pStyle w:val="797"/>
        <w:ind w:left="6480" w:hanging="360"/>
        <w:tabs>
          <w:tab w:val="num" w:pos="6480" w:leader="none"/>
        </w:tabs>
      </w:pPr>
      <w:rPr>
        <w:rFonts w:cs="Times New Roman"/>
      </w:rPr>
    </w:lvl>
  </w:abstractNum>
  <w:num w:numId="1">
    <w:abstractNumId w:val="1"/>
  </w:num>
  <w:num w:numId="2">
    <w:abstractNumId w:val="0"/>
  </w:num>
  <w:num w:numId="3">
    <w:abstractNumId w:val="3"/>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4"/>
    <w:next w:val="8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4"/>
    <w:next w:val="8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4"/>
    <w:next w:val="8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4"/>
    <w:next w:val="8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4"/>
    <w:next w:val="8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4"/>
    <w:next w:val="8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4"/>
    <w:next w:val="8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4"/>
    <w:next w:val="8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4"/>
    <w:next w:val="8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74"/>
    <w:next w:val="8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4"/>
    <w:next w:val="8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4"/>
    <w:next w:val="874"/>
    <w:link w:val="38"/>
    <w:uiPriority w:val="29"/>
    <w:qFormat/>
    <w:pPr>
      <w:ind w:left="720" w:right="720"/>
    </w:pPr>
    <w:rPr>
      <w:i/>
    </w:rPr>
  </w:style>
  <w:style w:type="character" w:styleId="38">
    <w:name w:val="Quote Char"/>
    <w:link w:val="37"/>
    <w:uiPriority w:val="29"/>
    <w:rPr>
      <w:i/>
    </w:rPr>
  </w:style>
  <w:style w:type="paragraph" w:styleId="39">
    <w:name w:val="Intense Quote"/>
    <w:basedOn w:val="874"/>
    <w:next w:val="8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4"/>
    <w:next w:val="8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4"/>
    <w:next w:val="874"/>
    <w:uiPriority w:val="39"/>
    <w:unhideWhenUsed/>
    <w:pPr>
      <w:ind w:left="0" w:right="0" w:firstLine="0"/>
      <w:spacing w:after="57"/>
    </w:pPr>
  </w:style>
  <w:style w:type="paragraph" w:styleId="181">
    <w:name w:val="toc 2"/>
    <w:basedOn w:val="874"/>
    <w:next w:val="874"/>
    <w:uiPriority w:val="39"/>
    <w:unhideWhenUsed/>
    <w:pPr>
      <w:ind w:left="283" w:right="0" w:firstLine="0"/>
      <w:spacing w:after="57"/>
    </w:pPr>
  </w:style>
  <w:style w:type="paragraph" w:styleId="182">
    <w:name w:val="toc 3"/>
    <w:basedOn w:val="874"/>
    <w:next w:val="874"/>
    <w:uiPriority w:val="39"/>
    <w:unhideWhenUsed/>
    <w:pPr>
      <w:ind w:left="567" w:right="0" w:firstLine="0"/>
      <w:spacing w:after="57"/>
    </w:pPr>
  </w:style>
  <w:style w:type="paragraph" w:styleId="183">
    <w:name w:val="toc 4"/>
    <w:basedOn w:val="874"/>
    <w:next w:val="874"/>
    <w:uiPriority w:val="39"/>
    <w:unhideWhenUsed/>
    <w:pPr>
      <w:ind w:left="850" w:right="0" w:firstLine="0"/>
      <w:spacing w:after="57"/>
    </w:pPr>
  </w:style>
  <w:style w:type="paragraph" w:styleId="184">
    <w:name w:val="toc 5"/>
    <w:basedOn w:val="874"/>
    <w:next w:val="874"/>
    <w:uiPriority w:val="39"/>
    <w:unhideWhenUsed/>
    <w:pPr>
      <w:ind w:left="1134" w:right="0" w:firstLine="0"/>
      <w:spacing w:after="57"/>
    </w:pPr>
  </w:style>
  <w:style w:type="paragraph" w:styleId="185">
    <w:name w:val="toc 6"/>
    <w:basedOn w:val="874"/>
    <w:next w:val="874"/>
    <w:uiPriority w:val="39"/>
    <w:unhideWhenUsed/>
    <w:pPr>
      <w:ind w:left="1417" w:right="0" w:firstLine="0"/>
      <w:spacing w:after="57"/>
    </w:pPr>
  </w:style>
  <w:style w:type="paragraph" w:styleId="186">
    <w:name w:val="toc 7"/>
    <w:basedOn w:val="874"/>
    <w:next w:val="874"/>
    <w:uiPriority w:val="39"/>
    <w:unhideWhenUsed/>
    <w:pPr>
      <w:ind w:left="1701" w:right="0" w:firstLine="0"/>
      <w:spacing w:after="57"/>
    </w:pPr>
  </w:style>
  <w:style w:type="paragraph" w:styleId="187">
    <w:name w:val="toc 8"/>
    <w:basedOn w:val="874"/>
    <w:next w:val="874"/>
    <w:uiPriority w:val="39"/>
    <w:unhideWhenUsed/>
    <w:pPr>
      <w:ind w:left="1984" w:right="0" w:firstLine="0"/>
      <w:spacing w:after="57"/>
    </w:pPr>
  </w:style>
  <w:style w:type="paragraph" w:styleId="188">
    <w:name w:val="toc 9"/>
    <w:basedOn w:val="874"/>
    <w:next w:val="8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4"/>
    <w:next w:val="874"/>
    <w:uiPriority w:val="99"/>
    <w:unhideWhenUsed/>
    <w:pPr>
      <w:spacing w:after="0" w:afterAutospacing="0"/>
    </w:pPr>
  </w:style>
  <w:style w:type="paragraph" w:styleId="797">
    <w:name w:val="Normal"/>
    <w:next w:val="805"/>
    <w:link w:val="797"/>
    <w:qFormat/>
    <w:pPr>
      <w:jc w:val="both"/>
      <w:widowControl w:val="off"/>
    </w:pPr>
    <w:rPr>
      <w:sz w:val="21"/>
      <w:szCs w:val="22"/>
      <w:lang w:val="en-US" w:eastAsia="zh-CN" w:bidi="ar-SA"/>
    </w:rPr>
  </w:style>
  <w:style w:type="paragraph" w:styleId="798">
    <w:name w:val="标题 1"/>
    <w:basedOn w:val="807"/>
    <w:next w:val="808"/>
    <w:link w:val="809"/>
    <w:qFormat/>
    <w:pPr>
      <w:ind w:left="432" w:right="0" w:hanging="420"/>
      <w:jc w:val="both"/>
      <w:keepNext/>
      <w:spacing w:before="240" w:after="60"/>
      <w:widowControl w:val="off"/>
      <w:tabs>
        <w:tab w:val="left" w:pos="420" w:leader="none"/>
      </w:tabs>
      <w:outlineLvl w:val="0"/>
    </w:pPr>
    <w:rPr>
      <w:rFonts w:ascii="楷体_GB2312" w:hAnsi="楷体_GB2312" w:cs="Times New Roman"/>
      <w:b/>
      <w:sz w:val="21"/>
      <w:szCs w:val="20"/>
    </w:rPr>
  </w:style>
  <w:style w:type="paragraph" w:styleId="799">
    <w:name w:val="标题 2"/>
    <w:basedOn w:val="807"/>
    <w:next w:val="808"/>
    <w:link w:val="810"/>
    <w:qFormat/>
    <w:pPr>
      <w:ind w:left="0" w:right="0"/>
      <w:jc w:val="both"/>
      <w:keepNext/>
      <w:spacing w:before="240" w:after="60" w:line="360" w:lineRule="auto"/>
      <w:widowControl w:val="off"/>
      <w:tabs>
        <w:tab w:val="left" w:pos="420" w:leader="none"/>
        <w:tab w:val="left" w:pos="560" w:leader="none"/>
      </w:tabs>
      <w:outlineLvl w:val="1"/>
    </w:pPr>
    <w:rPr>
      <w:rFonts w:eastAsia="幼圆" w:cs="Times New Roman"/>
      <w:b/>
      <w:sz w:val="44"/>
      <w:szCs w:val="20"/>
    </w:rPr>
  </w:style>
  <w:style w:type="paragraph" w:styleId="800">
    <w:name w:val="标题 3"/>
    <w:basedOn w:val="797"/>
    <w:next w:val="797"/>
    <w:link w:val="797"/>
    <w:qFormat/>
    <w:pPr>
      <w:ind w:left="0" w:right="0"/>
      <w:jc w:val="both"/>
      <w:keepNext/>
      <w:spacing w:before="240" w:after="60" w:line="360" w:lineRule="auto"/>
      <w:widowControl w:val="off"/>
      <w:tabs>
        <w:tab w:val="left" w:pos="420" w:leader="none"/>
        <w:tab w:val="left" w:pos="720" w:leader="none"/>
      </w:tabs>
      <w:outlineLvl w:val="2"/>
    </w:pPr>
    <w:rPr>
      <w:rFonts w:ascii="Arial" w:hAnsi="Arial" w:eastAsia="宋体" w:cs="Times New Roman"/>
      <w:b/>
      <w:bCs/>
      <w:sz w:val="30"/>
      <w:szCs w:val="30"/>
      <w:lang w:val="zh-CN" w:eastAsia="zh-CN" w:bidi="ar-SA"/>
    </w:rPr>
  </w:style>
  <w:style w:type="paragraph" w:styleId="801">
    <w:name w:val="标题 4"/>
    <w:basedOn w:val="797"/>
    <w:next w:val="797"/>
    <w:link w:val="797"/>
    <w:qFormat/>
    <w:pPr>
      <w:keepLines/>
      <w:keepNext/>
      <w:spacing w:before="280" w:after="290" w:line="376" w:lineRule="auto"/>
      <w:outlineLvl w:val="3"/>
    </w:pPr>
    <w:rPr>
      <w:rFonts w:ascii="Arial" w:hAnsi="Arial" w:eastAsia="黑体" w:cs="Times New Roman"/>
      <w:b/>
      <w:bCs/>
      <w:sz w:val="28"/>
      <w:szCs w:val="28"/>
    </w:rPr>
  </w:style>
  <w:style w:type="paragraph" w:styleId="802">
    <w:name w:val="标题 5"/>
    <w:basedOn w:val="797"/>
    <w:next w:val="797"/>
    <w:link w:val="797"/>
    <w:qFormat/>
    <w:pPr>
      <w:keepNext/>
      <w:outlineLvl w:val="4"/>
    </w:pPr>
    <w:rPr>
      <w:rFonts w:ascii="宋体" w:hAnsi="宋体" w:eastAsia="宋体" w:cs="Times New Roman"/>
      <w:b/>
      <w:bCs/>
    </w:rPr>
  </w:style>
  <w:style w:type="character" w:styleId="803">
    <w:name w:val="默认段落字体"/>
    <w:next w:val="803"/>
    <w:link w:val="797"/>
    <w:rPr>
      <w:rFonts w:ascii="Times New Roman" w:hAnsi="Times New Roman" w:eastAsia="宋体" w:cs="Times New Roman"/>
    </w:rPr>
  </w:style>
  <w:style w:type="table" w:styleId="804">
    <w:name w:val="普通表格"/>
    <w:next w:val="804"/>
    <w:link w:val="797"/>
    <w:rPr>
      <w:rFonts w:ascii="Times New Roman" w:hAnsi="Times New Roman" w:eastAsia="宋体" w:cs="Times New Roman"/>
    </w:rPr>
    <w:tblPr/>
  </w:style>
  <w:style w:type="paragraph" w:styleId="805">
    <w:name w:val="正文文本缩进"/>
    <w:basedOn w:val="797"/>
    <w:next w:val="805"/>
    <w:link w:val="806"/>
    <w:pPr>
      <w:ind w:firstLine="645"/>
    </w:pPr>
    <w:rPr>
      <w:rFonts w:ascii="楷体_GB2312" w:eastAsia="楷体_GB2312"/>
      <w:sz w:val="32"/>
      <w:szCs w:val="20"/>
    </w:rPr>
  </w:style>
  <w:style w:type="character" w:styleId="806">
    <w:name w:val="正文文本缩进 Char"/>
    <w:next w:val="806"/>
    <w:link w:val="805"/>
    <w:rPr>
      <w:rFonts w:ascii="楷体_GB2312" w:hAnsi="Times New Roman" w:eastAsia="楷体_GB2312" w:cs="Times New Roman"/>
      <w:sz w:val="32"/>
      <w:lang w:bidi="ar-SA"/>
    </w:rPr>
  </w:style>
  <w:style w:type="paragraph" w:styleId="807">
    <w:name w:val="Heading"/>
    <w:basedOn w:val="797"/>
    <w:next w:val="808"/>
    <w:link w:val="797"/>
    <w:qFormat/>
    <w:pPr>
      <w:keepNext/>
      <w:spacing w:before="240" w:after="120"/>
      <w:tabs>
        <w:tab w:val="right" w:pos="9638" w:leader="none"/>
      </w:tabs>
    </w:pPr>
    <w:rPr>
      <w:rFonts w:ascii="Arial" w:hAnsi="Arial" w:eastAsia="宋体" w:cs="Tahoma"/>
      <w:sz w:val="28"/>
      <w:szCs w:val="28"/>
    </w:rPr>
  </w:style>
  <w:style w:type="paragraph" w:styleId="808">
    <w:name w:val="正文文本"/>
    <w:basedOn w:val="797"/>
    <w:next w:val="808"/>
    <w:link w:val="797"/>
    <w:rPr>
      <w:rFonts w:ascii="楷体_GB2312" w:hAnsi="Arial" w:eastAsia="楷体_GB2312" w:cs="Times New Roman"/>
      <w:sz w:val="28"/>
      <w:szCs w:val="20"/>
    </w:rPr>
  </w:style>
  <w:style w:type="character" w:styleId="809">
    <w:name w:val="标题 1 Char"/>
    <w:next w:val="809"/>
    <w:link w:val="798"/>
    <w:rPr>
      <w:rFonts w:ascii="楷体_GB2312" w:hAnsi="楷体_GB2312" w:eastAsia="宋体" w:cs="Times New Roman"/>
      <w:b/>
      <w:sz w:val="21"/>
      <w:lang w:val="en-US" w:eastAsia="zh-CN" w:bidi="ar-SA"/>
    </w:rPr>
  </w:style>
  <w:style w:type="character" w:styleId="810">
    <w:name w:val="标题 2 Char"/>
    <w:next w:val="810"/>
    <w:link w:val="799"/>
    <w:rPr>
      <w:rFonts w:ascii="Arial" w:hAnsi="Arial" w:eastAsia="幼圆" w:cs="Times New Roman"/>
      <w:b/>
      <w:sz w:val="44"/>
      <w:lang w:bidi="ar-SA"/>
    </w:rPr>
  </w:style>
  <w:style w:type="paragraph" w:styleId="811">
    <w:name w:val="注释标题"/>
    <w:basedOn w:val="797"/>
    <w:next w:val="797"/>
    <w:link w:val="797"/>
    <w:pPr>
      <w:ind w:left="0" w:right="0" w:firstLine="480"/>
      <w:jc w:val="center"/>
      <w:spacing w:before="0" w:after="0" w:line="360" w:lineRule="auto"/>
      <w:widowControl w:val="off"/>
    </w:pPr>
    <w:rPr>
      <w:rFonts w:ascii="Times New Roman" w:hAnsi="Times New Roman" w:eastAsia="宋体" w:cs="Times New Roman"/>
      <w:sz w:val="21"/>
      <w:szCs w:val="24"/>
      <w:lang w:val="zh-CN" w:eastAsia="zh-CN" w:bidi="ar-SA"/>
    </w:rPr>
  </w:style>
  <w:style w:type="paragraph" w:styleId="812">
    <w:name w:val="正文缩进"/>
    <w:basedOn w:val="797"/>
    <w:next w:val="812"/>
    <w:link w:val="813"/>
    <w:pPr>
      <w:ind w:firstLine="420"/>
    </w:pPr>
    <w:rPr>
      <w:szCs w:val="20"/>
    </w:rPr>
  </w:style>
  <w:style w:type="character" w:styleId="813">
    <w:name w:val="正文缩进 Char"/>
    <w:next w:val="813"/>
    <w:link w:val="812"/>
    <w:rPr>
      <w:rFonts w:ascii="Times New Roman" w:hAnsi="Times New Roman" w:eastAsia="宋体" w:cs="Times New Roman"/>
      <w:sz w:val="21"/>
      <w:lang w:val="en-US" w:eastAsia="zh-CN" w:bidi="ar-SA"/>
    </w:rPr>
  </w:style>
  <w:style w:type="paragraph" w:styleId="814">
    <w:name w:val="题注"/>
    <w:basedOn w:val="797"/>
    <w:next w:val="797"/>
    <w:link w:val="797"/>
    <w:qFormat/>
    <w:pPr>
      <w:ind w:left="0" w:right="0" w:firstLine="480"/>
      <w:jc w:val="center"/>
      <w:spacing w:before="0" w:after="0" w:line="360" w:lineRule="auto"/>
      <w:widowControl w:val="off"/>
    </w:pPr>
    <w:rPr>
      <w:rFonts w:ascii="Arial" w:hAnsi="Arial" w:eastAsia="黑体" w:cs="Times New Roman"/>
      <w:sz w:val="20"/>
      <w:szCs w:val="20"/>
      <w:lang w:val="zh-CN" w:eastAsia="zh-CN" w:bidi="ar-SA"/>
    </w:rPr>
  </w:style>
  <w:style w:type="paragraph" w:styleId="815">
    <w:name w:val="文档结构图"/>
    <w:basedOn w:val="797"/>
    <w:next w:val="815"/>
    <w:link w:val="797"/>
    <w:pPr>
      <w:shd w:val="clear" w:color="auto" w:fill="000080"/>
    </w:pPr>
    <w:rPr>
      <w:rFonts w:ascii="Times New Roman" w:hAnsi="Times New Roman" w:eastAsia="宋体" w:cs="Times New Roman"/>
    </w:rPr>
  </w:style>
  <w:style w:type="paragraph" w:styleId="816">
    <w:name w:val="批注文字"/>
    <w:basedOn w:val="797"/>
    <w:next w:val="816"/>
    <w:link w:val="817"/>
    <w:pPr>
      <w:jc w:val="left"/>
    </w:pPr>
    <w:rPr>
      <w:szCs w:val="24"/>
    </w:rPr>
  </w:style>
  <w:style w:type="character" w:styleId="817">
    <w:name w:val="批注文字 Char"/>
    <w:next w:val="817"/>
    <w:link w:val="816"/>
    <w:rPr>
      <w:rFonts w:ascii="Times New Roman" w:hAnsi="Times New Roman" w:eastAsia="宋体" w:cs="Times New Roman"/>
      <w:sz w:val="21"/>
      <w:szCs w:val="24"/>
      <w:lang w:bidi="ar-SA"/>
    </w:rPr>
  </w:style>
  <w:style w:type="paragraph" w:styleId="818">
    <w:name w:val="正文文本 3"/>
    <w:basedOn w:val="797"/>
    <w:next w:val="818"/>
    <w:link w:val="797"/>
    <w:rPr>
      <w:rFonts w:ascii="仿宋_GB2312" w:hAnsi="Arial" w:eastAsia="仿宋_GB2312" w:cs="Times New Roman"/>
      <w:sz w:val="32"/>
      <w:szCs w:val="20"/>
    </w:rPr>
  </w:style>
  <w:style w:type="paragraph" w:styleId="819">
    <w:name w:val="文本块"/>
    <w:basedOn w:val="797"/>
    <w:next w:val="819"/>
    <w:link w:val="797"/>
    <w:pPr>
      <w:ind w:left="256" w:right="6" w:firstLine="624"/>
    </w:pPr>
    <w:rPr>
      <w:rFonts w:ascii="Times New Roman" w:hAnsi="Times New Roman" w:eastAsia="仿宋_GB2312" w:cs="Times New Roman"/>
      <w:sz w:val="28"/>
      <w:szCs w:val="20"/>
    </w:rPr>
  </w:style>
  <w:style w:type="paragraph" w:styleId="820">
    <w:name w:val="索引 4"/>
    <w:basedOn w:val="797"/>
    <w:next w:val="797"/>
    <w:link w:val="797"/>
    <w:pPr>
      <w:ind w:left="600"/>
    </w:pPr>
    <w:rPr>
      <w:rFonts w:ascii="Verdana" w:hAnsi="Verdana" w:eastAsia="宋体" w:cs="Times New Roman"/>
      <w:szCs w:val="20"/>
    </w:rPr>
  </w:style>
  <w:style w:type="paragraph" w:styleId="821">
    <w:name w:val="纯文本"/>
    <w:basedOn w:val="797"/>
    <w:next w:val="812"/>
    <w:link w:val="822"/>
    <w:rPr>
      <w:rFonts w:ascii="宋体" w:hAnsi="Courier New"/>
      <w:szCs w:val="20"/>
    </w:rPr>
  </w:style>
  <w:style w:type="character" w:styleId="822">
    <w:name w:val="纯文本 Char"/>
    <w:next w:val="822"/>
    <w:link w:val="821"/>
    <w:rPr>
      <w:rFonts w:ascii="宋体" w:hAnsi="Courier New" w:eastAsia="宋体" w:cs="Times New Roman"/>
      <w:sz w:val="21"/>
    </w:rPr>
  </w:style>
  <w:style w:type="paragraph" w:styleId="823">
    <w:name w:val="日期"/>
    <w:basedOn w:val="797"/>
    <w:next w:val="797"/>
    <w:link w:val="797"/>
    <w:rPr>
      <w:rFonts w:ascii="Times New Roman" w:hAnsi="Times New Roman" w:eastAsia="宋体" w:cs="Times New Roman"/>
      <w:sz w:val="24"/>
      <w:szCs w:val="20"/>
    </w:rPr>
  </w:style>
  <w:style w:type="paragraph" w:styleId="824">
    <w:name w:val="正文文本缩进 2"/>
    <w:basedOn w:val="797"/>
    <w:next w:val="824"/>
    <w:link w:val="797"/>
    <w:pPr>
      <w:ind w:firstLine="560"/>
    </w:pPr>
    <w:rPr>
      <w:rFonts w:ascii="宋体" w:hAnsi="宋体" w:eastAsia="宋体" w:cs="Times New Roman"/>
      <w:sz w:val="28"/>
    </w:rPr>
  </w:style>
  <w:style w:type="paragraph" w:styleId="825">
    <w:name w:val="尾注文本"/>
    <w:basedOn w:val="797"/>
    <w:next w:val="825"/>
    <w:link w:val="797"/>
    <w:pPr>
      <w:jc w:val="left"/>
    </w:pPr>
    <w:rPr>
      <w:rFonts w:ascii="Times New Roman" w:hAnsi="Times New Roman" w:eastAsia="宋体" w:cs="Times New Roman"/>
    </w:rPr>
  </w:style>
  <w:style w:type="paragraph" w:styleId="826">
    <w:name w:val="批注框文本"/>
    <w:basedOn w:val="797"/>
    <w:next w:val="826"/>
    <w:link w:val="827"/>
    <w:rPr>
      <w:sz w:val="18"/>
      <w:szCs w:val="18"/>
    </w:rPr>
  </w:style>
  <w:style w:type="character" w:styleId="827">
    <w:name w:val="批注框文本 Char"/>
    <w:next w:val="827"/>
    <w:link w:val="826"/>
    <w:rPr>
      <w:rFonts w:ascii="Times New Roman" w:hAnsi="Times New Roman" w:eastAsia="宋体" w:cs="Times New Roman"/>
      <w:sz w:val="18"/>
      <w:szCs w:val="18"/>
    </w:rPr>
  </w:style>
  <w:style w:type="paragraph" w:styleId="828">
    <w:name w:val="页脚"/>
    <w:basedOn w:val="829"/>
    <w:next w:val="828"/>
    <w:link w:val="830"/>
    <w:pPr>
      <w:jc w:val="left"/>
      <w:tabs>
        <w:tab w:val="center" w:pos="4153" w:leader="none"/>
        <w:tab w:val="right" w:pos="8306" w:leader="none"/>
      </w:tabs>
    </w:pPr>
    <w:rPr>
      <w:sz w:val="18"/>
      <w:szCs w:val="20"/>
    </w:rPr>
  </w:style>
  <w:style w:type="paragraph" w:styleId="829">
    <w:name w:val="Header and Footer"/>
    <w:basedOn w:val="797"/>
    <w:next w:val="829"/>
    <w:link w:val="797"/>
    <w:qFormat/>
    <w:pPr>
      <w:tabs>
        <w:tab w:val="center" w:pos="4986" w:leader="none"/>
        <w:tab w:val="right" w:pos="9972" w:leader="none"/>
      </w:tabs>
      <w:suppressLineNumbers/>
    </w:pPr>
  </w:style>
  <w:style w:type="character" w:styleId="830">
    <w:name w:val="页脚 Char"/>
    <w:next w:val="830"/>
    <w:link w:val="828"/>
    <w:rPr>
      <w:rFonts w:ascii="Times New Roman" w:hAnsi="Times New Roman" w:eastAsia="宋体" w:cs="Times New Roman"/>
      <w:sz w:val="18"/>
      <w:lang w:bidi="ar-SA"/>
    </w:rPr>
  </w:style>
  <w:style w:type="paragraph" w:styleId="831">
    <w:name w:val="页眉"/>
    <w:basedOn w:val="797"/>
    <w:next w:val="831"/>
    <w:link w:val="79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32">
    <w:name w:val="目录 1"/>
    <w:basedOn w:val="797"/>
    <w:next w:val="797"/>
    <w:link w:val="797"/>
    <w:pPr>
      <w:jc w:val="left"/>
      <w:spacing w:before="120" w:after="120"/>
    </w:pPr>
    <w:rPr>
      <w:rFonts w:ascii="Calibri" w:hAnsi="Calibri" w:eastAsia="宋体" w:cs="Calibri"/>
      <w:b/>
      <w:bCs/>
      <w:caps/>
      <w:sz w:val="20"/>
      <w:szCs w:val="20"/>
    </w:rPr>
  </w:style>
  <w:style w:type="paragraph" w:styleId="833">
    <w:name w:val="正文文本缩进 3"/>
    <w:basedOn w:val="797"/>
    <w:next w:val="833"/>
    <w:link w:val="797"/>
    <w:pPr>
      <w:ind w:firstLine="523"/>
    </w:pPr>
    <w:rPr>
      <w:rFonts w:ascii="仿宋_GB2312" w:hAnsi="宋体" w:eastAsia="仿宋_GB2312" w:cs="Times New Roman"/>
      <w:sz w:val="24"/>
    </w:rPr>
  </w:style>
  <w:style w:type="paragraph" w:styleId="834">
    <w:name w:val="正文文本 2"/>
    <w:basedOn w:val="797"/>
    <w:next w:val="834"/>
    <w:link w:val="797"/>
    <w:pPr>
      <w:jc w:val="center"/>
    </w:pPr>
    <w:rPr>
      <w:rFonts w:ascii="仿宋_GB2312" w:hAnsi="Times New Roman" w:eastAsia="仿宋_GB2312" w:cs="Times New Roman"/>
      <w:sz w:val="44"/>
    </w:rPr>
  </w:style>
  <w:style w:type="paragraph" w:styleId="835">
    <w:name w:val="HTML 预设格式"/>
    <w:basedOn w:val="797"/>
    <w:next w:val="835"/>
    <w:link w:val="7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36">
    <w:name w:val="普通(网站)"/>
    <w:basedOn w:val="797"/>
    <w:next w:val="836"/>
    <w:link w:val="797"/>
    <w:pPr>
      <w:jc w:val="left"/>
      <w:spacing w:before="100" w:beforeAutospacing="1" w:after="100" w:afterAutospacing="1"/>
      <w:widowControl/>
    </w:pPr>
    <w:rPr>
      <w:rFonts w:ascii="宋体" w:hAnsi="宋体" w:eastAsia="宋体" w:cs="宋体"/>
      <w:sz w:val="24"/>
    </w:rPr>
  </w:style>
  <w:style w:type="paragraph" w:styleId="837">
    <w:name w:val="标题"/>
    <w:basedOn w:val="797"/>
    <w:next w:val="797"/>
    <w:link w:val="797"/>
    <w:qFormat/>
    <w:pPr>
      <w:spacing w:after="0" w:line="360" w:lineRule="auto"/>
      <w:widowControl w:val="off"/>
      <w:outlineLvl w:val="0"/>
    </w:pPr>
    <w:rPr>
      <w:rFonts w:ascii="Times New Roman" w:hAnsi="Times New Roman" w:eastAsia="等线" w:cs="Times New Roman"/>
      <w:b/>
      <w:bCs/>
      <w:color w:val="000000"/>
      <w:sz w:val="24"/>
      <w:szCs w:val="32"/>
    </w:rPr>
  </w:style>
  <w:style w:type="paragraph" w:styleId="838">
    <w:name w:val="批注主题"/>
    <w:basedOn w:val="816"/>
    <w:next w:val="816"/>
    <w:link w:val="839"/>
    <w:rPr>
      <w:b/>
      <w:bCs/>
    </w:rPr>
  </w:style>
  <w:style w:type="character" w:styleId="839">
    <w:name w:val="批注主题 Char"/>
    <w:next w:val="839"/>
    <w:link w:val="838"/>
    <w:rPr>
      <w:rFonts w:ascii="Times New Roman" w:hAnsi="Times New Roman" w:eastAsia="宋体" w:cs="Times New Roman"/>
      <w:b/>
      <w:bCs/>
      <w:sz w:val="21"/>
      <w:szCs w:val="24"/>
      <w:lang w:bidi="ar-SA"/>
    </w:rPr>
  </w:style>
  <w:style w:type="paragraph" w:styleId="840">
    <w:name w:val="正文首行缩进"/>
    <w:basedOn w:val="808"/>
    <w:next w:val="840"/>
    <w:link w:val="797"/>
    <w:pPr>
      <w:ind w:firstLine="420"/>
    </w:pPr>
    <w:rPr>
      <w:rFonts w:ascii="Times New Roman" w:hAnsi="Times New Roman" w:eastAsia="宋体" w:cs="Times New Roman"/>
    </w:rPr>
  </w:style>
  <w:style w:type="table" w:styleId="841">
    <w:name w:val="网格型"/>
    <w:basedOn w:val="804"/>
    <w:next w:val="841"/>
    <w:link w:val="797"/>
    <w:pPr>
      <w:jc w:val="both"/>
      <w:widowControl w:val="off"/>
    </w:pPr>
    <w:rPr>
      <w:rFonts w:ascii="Times New Roman" w:hAnsi="Times New Roman" w:eastAsia="宋体" w:cs="Times New Roman"/>
    </w:rPr>
    <w:tblPr/>
  </w:style>
  <w:style w:type="character" w:styleId="842">
    <w:name w:val="要点"/>
    <w:next w:val="842"/>
    <w:link w:val="797"/>
    <w:qFormat/>
    <w:rPr>
      <w:rFonts w:ascii="Times New Roman" w:hAnsi="Times New Roman" w:eastAsia="宋体" w:cs="Times New Roman"/>
      <w:b/>
      <w:bCs/>
    </w:rPr>
  </w:style>
  <w:style w:type="character" w:styleId="843">
    <w:name w:val="页码"/>
    <w:next w:val="843"/>
    <w:link w:val="797"/>
    <w:rPr>
      <w:rFonts w:ascii="Times New Roman" w:hAnsi="Times New Roman" w:eastAsia="宋体" w:cs="Times New Roman"/>
    </w:rPr>
  </w:style>
  <w:style w:type="character" w:styleId="844">
    <w:name w:val="已访问的超链接"/>
    <w:next w:val="844"/>
    <w:link w:val="797"/>
    <w:rPr>
      <w:rFonts w:ascii="微软雅黑" w:hAnsi="微软雅黑" w:eastAsia="微软雅黑" w:cs="微软雅黑"/>
      <w:color w:val="3d3d3d"/>
      <w:u w:val="none"/>
    </w:rPr>
  </w:style>
  <w:style w:type="character" w:styleId="845">
    <w:name w:val="强调"/>
    <w:next w:val="845"/>
    <w:link w:val="797"/>
    <w:qFormat/>
    <w:rPr>
      <w:rFonts w:ascii="Times New Roman" w:hAnsi="Times New Roman" w:eastAsia="宋体" w:cs="Times New Roman"/>
      <w:i/>
      <w:iCs/>
    </w:rPr>
  </w:style>
  <w:style w:type="character" w:styleId="846">
    <w:name w:val="超链接"/>
    <w:next w:val="846"/>
    <w:link w:val="797"/>
    <w:rPr>
      <w:rFonts w:hint="eastAsia" w:ascii="微软雅黑" w:hAnsi="微软雅黑" w:eastAsia="微软雅黑" w:cs="微软雅黑"/>
      <w:color w:val="3d3d3d"/>
      <w:u w:val="none"/>
    </w:rPr>
  </w:style>
  <w:style w:type="character" w:styleId="847">
    <w:name w:val="批注引用"/>
    <w:next w:val="847"/>
    <w:link w:val="797"/>
    <w:rPr>
      <w:rFonts w:ascii="Times New Roman" w:hAnsi="Times New Roman" w:eastAsia="宋体" w:cs="Times New Roman"/>
      <w:sz w:val="21"/>
      <w:szCs w:val="21"/>
    </w:rPr>
  </w:style>
  <w:style w:type="paragraph" w:styleId="848">
    <w:name w:val="style4"/>
    <w:basedOn w:val="797"/>
    <w:next w:val="849"/>
    <w:link w:val="797"/>
    <w:uiPriority w:val="99"/>
    <w:qFormat/>
    <w:pPr>
      <w:spacing w:before="280" w:after="280"/>
      <w:widowControl/>
    </w:pPr>
    <w:rPr>
      <w:rFonts w:ascii="宋体"/>
      <w:sz w:val="18"/>
    </w:rPr>
  </w:style>
  <w:style w:type="paragraph" w:styleId="849">
    <w:name w:val="2"/>
    <w:next w:val="797"/>
    <w:link w:val="797"/>
    <w:uiPriority w:val="99"/>
    <w:qFormat/>
    <w:pPr>
      <w:jc w:val="both"/>
      <w:widowControl w:val="off"/>
    </w:pPr>
    <w:rPr>
      <w:rFonts w:ascii="Calibri" w:hAnsi="Calibri"/>
      <w:sz w:val="21"/>
      <w:szCs w:val="22"/>
      <w:lang w:val="en-US" w:eastAsia="zh-CN" w:bidi="ar-SA"/>
    </w:rPr>
  </w:style>
  <w:style w:type="paragraph" w:styleId="850">
    <w:name w:val="DAS正文"/>
    <w:basedOn w:val="797"/>
    <w:next w:val="850"/>
    <w:link w:val="797"/>
    <w:pPr>
      <w:ind w:right="181" w:firstLine="480"/>
      <w:jc w:val="both"/>
      <w:spacing w:after="0" w:line="360" w:lineRule="auto"/>
    </w:pPr>
    <w:rPr>
      <w:rFonts w:ascii="Verdana" w:hAnsi="Verdana" w:eastAsia="宋体" w:cs="Times New Roman"/>
      <w:szCs w:val="24"/>
    </w:rPr>
  </w:style>
  <w:style w:type="paragraph" w:styleId="851">
    <w:name w:val="普通正文"/>
    <w:basedOn w:val="797"/>
    <w:next w:val="851"/>
    <w:link w:val="797"/>
    <w:pPr>
      <w:ind w:firstLine="480"/>
      <w:jc w:val="left"/>
      <w:spacing w:before="120" w:after="120" w:line="360" w:lineRule="auto"/>
    </w:pPr>
    <w:rPr>
      <w:rFonts w:ascii="Arial" w:hAnsi="Arial" w:eastAsia="宋体" w:cs="Times New Roman"/>
      <w:sz w:val="24"/>
    </w:rPr>
  </w:style>
  <w:style w:type="paragraph" w:styleId="852">
    <w:name w:val="WPSOffice手动目录 1"/>
    <w:next w:val="852"/>
    <w:link w:val="797"/>
    <w:rPr>
      <w:lang w:val="en-US" w:eastAsia="zh-CN" w:bidi="ar-SA"/>
    </w:rPr>
  </w:style>
  <w:style w:type="paragraph" w:styleId="853">
    <w:name w:val="[Normal]"/>
    <w:next w:val="853"/>
    <w:link w:val="797"/>
    <w:rPr>
      <w:rFonts w:ascii="宋体" w:hAnsi="宋体"/>
      <w:sz w:val="24"/>
      <w:szCs w:val="22"/>
      <w:lang w:val="zh-CN" w:eastAsia="zh-CN" w:bidi="ar-SA"/>
    </w:rPr>
  </w:style>
  <w:style w:type="paragraph" w:styleId="854">
    <w:name w:val="Default"/>
    <w:next w:val="854"/>
    <w:link w:val="797"/>
    <w:pPr>
      <w:widowControl w:val="off"/>
    </w:pPr>
    <w:rPr>
      <w:rFonts w:ascii="仿宋" w:hAnsi="仿宋" w:cs="仿宋"/>
      <w:color w:val="000000"/>
      <w:sz w:val="24"/>
      <w:szCs w:val="24"/>
      <w:lang w:val="en-US" w:eastAsia="zh-CN" w:bidi="ar-SA"/>
    </w:rPr>
  </w:style>
  <w:style w:type="paragraph" w:styleId="855">
    <w:name w:val="二级目录"/>
    <w:next w:val="797"/>
    <w:link w:val="797"/>
    <w:pPr>
      <w:ind w:left="567" w:hanging="567"/>
      <w:tabs>
        <w:tab w:val="left" w:pos="720" w:leader="none"/>
      </w:tabs>
      <w:outlineLvl w:val="1"/>
    </w:pPr>
    <w:rPr>
      <w:b/>
      <w:sz w:val="30"/>
      <w:szCs w:val="28"/>
      <w:lang w:val="en-US" w:eastAsia="zh-CN" w:bidi="ar-SA"/>
    </w:rPr>
  </w:style>
  <w:style w:type="paragraph" w:styleId="856">
    <w:name w:val="正文（绿盟科技）"/>
    <w:next w:val="856"/>
    <w:link w:val="797"/>
    <w:pPr>
      <w:spacing w:line="300" w:lineRule="auto"/>
    </w:pPr>
    <w:rPr>
      <w:rFonts w:ascii="Arial" w:hAnsi="Arial"/>
      <w:sz w:val="21"/>
      <w:szCs w:val="21"/>
      <w:lang w:val="en-US" w:eastAsia="zh-CN" w:bidi="ar-SA"/>
    </w:rPr>
  </w:style>
  <w:style w:type="paragraph" w:styleId="857">
    <w:name w:val="xl27"/>
    <w:basedOn w:val="797"/>
    <w:next w:val="857"/>
    <w:link w:val="797"/>
    <w:pPr>
      <w:jc w:val="center"/>
      <w:spacing w:before="100" w:beforeAutospacing="1" w:after="100" w:afterAutospacing="1"/>
      <w:widowControl/>
    </w:pPr>
    <w:rPr>
      <w:rFonts w:hint="eastAsia" w:ascii="黑体" w:hAnsi="宋体" w:eastAsia="黑体" w:cs="Times New Roman"/>
      <w:sz w:val="28"/>
      <w:szCs w:val="28"/>
    </w:rPr>
  </w:style>
  <w:style w:type="character" w:styleId="858">
    <w:name w:val="列出段落 Char,Bullet List Char,numbered Char,FooterText Char,List Paragraph1 Char,Paragraphe de liste1 Char"/>
    <w:next w:val="858"/>
    <w:link w:val="859"/>
    <w:rPr>
      <w:rFonts w:ascii="Calibri" w:hAnsi="Calibri" w:eastAsia="宋体" w:cs="Times New Roman"/>
      <w:sz w:val="24"/>
      <w:szCs w:val="24"/>
      <w:lang w:eastAsia="en-US" w:bidi="en-US"/>
    </w:rPr>
  </w:style>
  <w:style w:type="paragraph" w:styleId="859">
    <w:name w:val="列出段落1"/>
    <w:basedOn w:val="797"/>
    <w:next w:val="859"/>
    <w:link w:val="858"/>
    <w:pPr>
      <w:contextualSpacing/>
      <w:ind w:left="720"/>
      <w:jc w:val="left"/>
      <w:widowControl/>
    </w:pPr>
    <w:rPr>
      <w:rFonts w:ascii="Calibri" w:hAnsi="Calibri"/>
      <w:sz w:val="24"/>
      <w:szCs w:val="24"/>
      <w:lang w:eastAsia="en-US" w:bidi="en-US"/>
    </w:rPr>
  </w:style>
  <w:style w:type="character" w:styleId="860">
    <w:name w:val="列出段落 Char2"/>
    <w:next w:val="860"/>
    <w:link w:val="861"/>
    <w:rPr>
      <w:rFonts w:ascii="Times New Roman" w:hAnsi="Times New Roman" w:eastAsia="宋体" w:cs="Times New Roman"/>
      <w:sz w:val="21"/>
      <w:szCs w:val="22"/>
    </w:rPr>
  </w:style>
  <w:style w:type="paragraph" w:styleId="861">
    <w:name w:val="列出段落"/>
    <w:basedOn w:val="797"/>
    <w:next w:val="861"/>
    <w:link w:val="860"/>
    <w:qFormat/>
    <w:pPr>
      <w:ind w:left="0" w:right="0" w:firstLine="420"/>
      <w:jc w:val="both"/>
      <w:spacing w:before="0" w:after="0"/>
      <w:widowControl w:val="off"/>
    </w:pPr>
  </w:style>
  <w:style w:type="character" w:styleId="862">
    <w:name w:val="批注框文本 字符"/>
    <w:next w:val="862"/>
    <w:link w:val="797"/>
    <w:rPr>
      <w:rFonts w:ascii="Times New Roman" w:hAnsi="Times New Roman" w:eastAsia="宋体" w:cs="Times New Roman"/>
      <w:sz w:val="18"/>
      <w:szCs w:val="18"/>
    </w:rPr>
  </w:style>
  <w:style w:type="character" w:styleId="863">
    <w:name w:val="列出段落 Char1"/>
    <w:next w:val="863"/>
    <w:link w:val="864"/>
    <w:rPr>
      <w:rFonts w:ascii="Times New Roman" w:hAnsi="Times New Roman" w:eastAsia="宋体" w:cs="Times New Roman"/>
      <w:sz w:val="21"/>
      <w:szCs w:val="21"/>
    </w:rPr>
  </w:style>
  <w:style w:type="paragraph" w:styleId="864">
    <w:name w:val="列出段落2"/>
    <w:basedOn w:val="797"/>
    <w:next w:val="864"/>
    <w:link w:val="863"/>
    <w:pPr>
      <w:ind w:firstLine="420"/>
    </w:pPr>
    <w:rPr>
      <w:szCs w:val="21"/>
    </w:rPr>
  </w:style>
  <w:style w:type="character" w:styleId="865">
    <w:name w:val="Plain Text Char Char"/>
    <w:next w:val="865"/>
    <w:link w:val="866"/>
    <w:rPr>
      <w:rFonts w:ascii="宋体" w:hAnsi="Courier New" w:eastAsia="楷体_GB2312" w:cs="宋体"/>
      <w:sz w:val="28"/>
      <w:szCs w:val="21"/>
    </w:rPr>
  </w:style>
  <w:style w:type="paragraph" w:styleId="866">
    <w:name w:val="Plain Text"/>
    <w:basedOn w:val="797"/>
    <w:next w:val="866"/>
    <w:link w:val="865"/>
    <w:rPr>
      <w:rFonts w:ascii="宋体" w:hAnsi="Courier New" w:eastAsia="楷体_GB2312"/>
      <w:sz w:val="28"/>
      <w:szCs w:val="21"/>
    </w:rPr>
  </w:style>
  <w:style w:type="character" w:styleId="867">
    <w:name w:val="标题2 Char"/>
    <w:next w:val="867"/>
    <w:link w:val="797"/>
    <w:rPr>
      <w:rFonts w:ascii="方正楷体_GBK" w:hAnsi="Book Antiqua" w:eastAsia="方正楷体_GBK" w:cs="Times New Roman"/>
      <w:sz w:val="32"/>
      <w:lang w:val="en-US" w:eastAsia="zh-CN" w:bidi="ar-SA"/>
    </w:rPr>
  </w:style>
  <w:style w:type="character" w:styleId="868">
    <w:name w:val="jj1"/>
    <w:next w:val="868"/>
    <w:link w:val="797"/>
    <w:rPr>
      <w:rFonts w:ascii="Times New Roman" w:hAnsi="Times New Roman" w:eastAsia="宋体" w:cs="Times New Roman"/>
      <w:sz w:val="20"/>
      <w:szCs w:val="20"/>
      <w:u w:val="none"/>
    </w:rPr>
  </w:style>
  <w:style w:type="character" w:styleId="869">
    <w:name w:val="font21"/>
    <w:next w:val="869"/>
    <w:link w:val="797"/>
    <w:rPr>
      <w:rFonts w:hint="eastAsia" w:ascii="宋体" w:hAnsi="宋体" w:eastAsia="宋体" w:cs="宋体"/>
      <w:color w:val="000000"/>
      <w:sz w:val="22"/>
      <w:szCs w:val="22"/>
      <w:u w:val="none"/>
    </w:rPr>
  </w:style>
  <w:style w:type="paragraph" w:styleId="870">
    <w:name w:val="首行缩进"/>
    <w:basedOn w:val="797"/>
    <w:next w:val="870"/>
    <w:link w:val="797"/>
    <w:pPr>
      <w:ind w:firstLine="480"/>
    </w:pPr>
    <w:rPr>
      <w:rFonts w:ascii="Times New Roman" w:hAnsi="Times New Roman" w:eastAsia="宋体" w:cs="Times New Roman"/>
      <w:szCs w:val="20"/>
      <w:lang w:val="zh-CN"/>
    </w:rPr>
  </w:style>
  <w:style w:type="paragraph" w:styleId="871">
    <w:name w:val="_正文"/>
    <w:basedOn w:val="797"/>
    <w:next w:val="871"/>
    <w:link w:val="797"/>
    <w:pPr>
      <w:spacing w:line="360" w:lineRule="auto"/>
    </w:pPr>
    <w:rPr>
      <w:rFonts w:ascii="Times New Roman" w:hAnsi="Times New Roman" w:eastAsia="宋体" w:cs="Times New Roman"/>
      <w:sz w:val="24"/>
    </w:rPr>
  </w:style>
  <w:style w:type="paragraph" w:styleId="872">
    <w:name w:val="正文 1.1.1"/>
    <w:basedOn w:val="797"/>
    <w:next w:val="797"/>
    <w:link w:val="797"/>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873">
    <w:name w:val="图表文字"/>
    <w:next w:val="873"/>
    <w:link w:val="797"/>
    <w:rPr>
      <w:sz w:val="21"/>
      <w:szCs w:val="21"/>
      <w:lang w:val="en-US" w:eastAsia="zh-CN" w:bidi="ar-SA"/>
    </w:rPr>
  </w:style>
  <w:style w:type="paragraph" w:styleId="874">
    <w:name w:val="Normal"/>
    <w:basedOn w:val="797"/>
    <w:next w:val="874"/>
    <w:link w:val="797"/>
    <w:pPr>
      <w:jc w:val="left"/>
      <w:spacing w:after="200" w:line="300" w:lineRule="atLeast"/>
      <w:widowControl/>
    </w:pPr>
    <w:rPr>
      <w:rFonts w:ascii="Calibri" w:hAnsi="Calibri" w:eastAsia="宋体" w:cs="Times New Roman"/>
      <w:sz w:val="22"/>
    </w:rPr>
  </w:style>
  <w:style w:type="paragraph" w:styleId="875">
    <w:name w:val="__正文"/>
    <w:basedOn w:val="871"/>
    <w:next w:val="871"/>
    <w:link w:val="797"/>
    <w:rPr>
      <w:rFonts w:ascii="Times New Roman" w:hAnsi="Times New Roman" w:eastAsia="宋体" w:cs="Times New Roman"/>
      <w:sz w:val="21"/>
    </w:rPr>
  </w:style>
  <w:style w:type="paragraph" w:styleId="876">
    <w:name w:val="附录1"/>
    <w:next w:val="876"/>
    <w:link w:val="797"/>
    <w:pPr>
      <w:numPr>
        <w:ilvl w:val="0"/>
        <w:numId w:val="2"/>
      </w:numPr>
      <w:spacing w:before="240" w:line="600" w:lineRule="atLeast"/>
      <w:tabs>
        <w:tab w:val="left" w:pos="907" w:leader="none"/>
      </w:tabs>
    </w:pPr>
    <w:rPr>
      <w:b/>
      <w:i/>
      <w:sz w:val="28"/>
      <w:lang w:val="en-US" w:eastAsia="zh-CN" w:bidi="ar-SA"/>
    </w:rPr>
  </w:style>
  <w:style w:type="paragraph" w:styleId="877">
    <w:name w:val="&quot;正文2&quot;"/>
    <w:basedOn w:val="797"/>
    <w:next w:val="877"/>
    <w:link w:val="797"/>
    <w:pPr>
      <w:ind w:left="0" w:right="0" w:firstLine="200"/>
      <w:jc w:val="both"/>
      <w:spacing w:before="0" w:after="0" w:line="360" w:lineRule="auto"/>
      <w:widowControl w:val="off"/>
    </w:pPr>
    <w:rPr>
      <w:rFonts w:ascii="宋体" w:hAnsi="Times New Roman" w:eastAsia="宋体" w:cs="Times New Roman"/>
      <w:sz w:val="21"/>
      <w:szCs w:val="21"/>
      <w:lang w:val="zh-CN" w:eastAsia="zh-CN" w:bidi="ar-SA"/>
    </w:rPr>
  </w:style>
  <w:style w:type="paragraph" w:styleId="878">
    <w:name w:val="正文 正文"/>
    <w:basedOn w:val="797"/>
    <w:next w:val="878"/>
    <w:link w:val="797"/>
    <w:pPr>
      <w:ind w:firstLine="480"/>
      <w:spacing w:line="360" w:lineRule="auto"/>
    </w:pPr>
    <w:rPr>
      <w:rFonts w:ascii="Times New Roman" w:hAnsi="Times New Roman" w:eastAsia="宋体" w:cs="Times New Roman"/>
      <w:sz w:val="24"/>
      <w:szCs w:val="24"/>
    </w:rPr>
  </w:style>
  <w:style w:type="paragraph" w:styleId="879">
    <w:name w:val="标书正文格式"/>
    <w:next w:val="879"/>
    <w:link w:val="797"/>
    <w:pPr>
      <w:ind w:firstLine="200"/>
      <w:spacing w:line="360" w:lineRule="auto"/>
    </w:pPr>
    <w:rPr>
      <w:rFonts w:eastAsia="楷体_GB2312"/>
      <w:sz w:val="24"/>
      <w:szCs w:val="24"/>
      <w:lang w:val="en-US" w:eastAsia="zh-CN" w:bidi="ar-SA"/>
    </w:rPr>
  </w:style>
  <w:style w:type="paragraph" w:styleId="880">
    <w:name w:val="Table Text"/>
    <w:next w:val="880"/>
    <w:link w:val="797"/>
    <w:pPr>
      <w:jc w:val="center"/>
      <w:spacing w:before="143" w:after="80"/>
    </w:pPr>
    <w:rPr>
      <w:rFonts w:ascii="仿宋_GB2312" w:hAnsi="宋体" w:eastAsia="仿宋_GB2312"/>
      <w:sz w:val="24"/>
      <w:lang w:val="en-US" w:eastAsia="zh-CN" w:bidi="ar-SA"/>
    </w:rPr>
  </w:style>
  <w:style w:type="paragraph" w:styleId="881">
    <w:name w:val="Char Char Char Char1 Char Char Char"/>
    <w:basedOn w:val="815"/>
    <w:next w:val="881"/>
    <w:link w:val="797"/>
    <w:pPr>
      <w:spacing w:line="360" w:lineRule="auto"/>
    </w:pPr>
    <w:rPr>
      <w:rFonts w:ascii="Tahoma" w:hAnsi="Tahoma" w:eastAsia="宋体" w:cs="Times New Roman"/>
      <w:sz w:val="24"/>
    </w:rPr>
  </w:style>
  <w:style w:type="paragraph" w:styleId="882">
    <w:name w:val="简单回函地址"/>
    <w:basedOn w:val="797"/>
    <w:next w:val="882"/>
    <w:link w:val="797"/>
    <w:rPr>
      <w:rFonts w:ascii="Times New Roman" w:hAnsi="Times New Roman" w:eastAsia="宋体" w:cs="宋体"/>
      <w:szCs w:val="21"/>
    </w:rPr>
  </w:style>
  <w:style w:type="paragraph" w:styleId="883">
    <w:name w:val="标题3"/>
    <w:basedOn w:val="797"/>
    <w:next w:val="797"/>
    <w:link w:val="797"/>
    <w:rPr>
      <w:rFonts w:ascii="Times New Roman" w:hAnsi="Times New Roman" w:eastAsia="方正黑体_GBK" w:cs="Times New Roman"/>
    </w:rPr>
  </w:style>
  <w:style w:type="paragraph" w:styleId="884">
    <w:name w:val="正文 1.1"/>
    <w:basedOn w:val="797"/>
    <w:next w:val="872"/>
    <w:link w:val="797"/>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885">
    <w:name w:val="正文 第一章"/>
    <w:basedOn w:val="797"/>
    <w:next w:val="884"/>
    <w:link w:val="797"/>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886">
    <w:name w:val="无间隔"/>
    <w:next w:val="886"/>
    <w:link w:val="797"/>
    <w:qFormat/>
    <w:pPr>
      <w:jc w:val="both"/>
      <w:widowControl w:val="off"/>
    </w:pPr>
    <w:rPr>
      <w:sz w:val="21"/>
      <w:szCs w:val="24"/>
      <w:lang w:val="en-US" w:eastAsia="zh-CN" w:bidi="ar-SA"/>
    </w:rPr>
  </w:style>
  <w:style w:type="paragraph" w:styleId="887">
    <w:name w:val="Coms Alinea"/>
    <w:next w:val="887"/>
    <w:link w:val="797"/>
    <w:pPr>
      <w:widowControl w:val="off"/>
    </w:pPr>
    <w:rPr>
      <w:rFonts w:ascii="Arial" w:hAnsi="Arial" w:cs="Arial"/>
      <w:lang w:val="en-US" w:eastAsia="zh-CN" w:bidi="ar-SA"/>
    </w:rPr>
  </w:style>
  <w:style w:type="paragraph" w:styleId="888">
    <w:name w:val="BioQuote Tekst"/>
    <w:basedOn w:val="797"/>
    <w:next w:val="888"/>
    <w:link w:val="797"/>
    <w:pPr>
      <w:ind w:right="-1"/>
    </w:pPr>
    <w:rPr>
      <w:rFonts w:ascii="Arial" w:hAnsi="Arial" w:eastAsia="宋体" w:cs="Times New Roman"/>
      <w:sz w:val="22"/>
      <w:szCs w:val="20"/>
      <w:lang w:eastAsia="en-US"/>
    </w:rPr>
  </w:style>
  <w:style w:type="paragraph" w:styleId="889">
    <w:name w:val="&quot;1 正文&quot;"/>
    <w:basedOn w:val="797"/>
    <w:next w:val="889"/>
    <w:link w:val="797"/>
    <w:pPr>
      <w:ind w:left="0" w:right="0" w:firstLine="200"/>
      <w:jc w:val="both"/>
      <w:spacing w:before="0" w:after="0" w:line="360" w:lineRule="auto"/>
      <w:widowControl w:val="off"/>
    </w:pPr>
    <w:rPr>
      <w:rFonts w:ascii="宋体" w:hAnsi="Times New Roman" w:eastAsia="宋体" w:cs="Times New Roman"/>
      <w:sz w:val="21"/>
      <w:szCs w:val="21"/>
      <w:lang w:val="en-US" w:eastAsia="zh-CN" w:bidi="ar-SA"/>
    </w:rPr>
  </w:style>
  <w:style w:type="paragraph" w:styleId="890">
    <w:name w:val="图片表格"/>
    <w:basedOn w:val="797"/>
    <w:next w:val="890"/>
    <w:link w:val="797"/>
    <w:pPr>
      <w:jc w:val="center"/>
    </w:pPr>
    <w:rPr>
      <w:rFonts w:ascii="Times New Roman" w:hAnsi="Times New Roman" w:eastAsia="宋体" w:cs="Times New Roman"/>
    </w:rPr>
  </w:style>
  <w:style w:type="paragraph" w:styleId="891">
    <w:name w:val="标题2"/>
    <w:basedOn w:val="797"/>
    <w:next w:val="797"/>
    <w:link w:val="797"/>
    <w:pPr>
      <w:jc w:val="center"/>
    </w:pPr>
    <w:rPr>
      <w:rFonts w:ascii="Times New Roman" w:hAnsi="Times New Roman" w:eastAsia="方正楷体_GBK" w:cs="Times New Roman"/>
    </w:rPr>
  </w:style>
  <w:style w:type="paragraph" w:styleId="892">
    <w:name w:val="标题 5（有编号）（绿盟科技）"/>
    <w:basedOn w:val="797"/>
    <w:next w:val="856"/>
    <w:link w:val="797"/>
    <w:pPr>
      <w:numPr>
        <w:ilvl w:val="4"/>
        <w:numId w:val="3"/>
      </w:numPr>
      <w:keepLines/>
      <w:keepNext/>
      <w:spacing w:before="280" w:after="156" w:line="377" w:lineRule="auto"/>
      <w:outlineLvl w:val="4"/>
    </w:pPr>
    <w:rPr>
      <w:rFonts w:ascii="Arial" w:hAnsi="Arial" w:eastAsia="黑体" w:cs="Times New Roman"/>
      <w:b/>
      <w:szCs w:val="28"/>
    </w:rPr>
  </w:style>
  <w:style w:type="paragraph" w:styleId="893">
    <w:name w:val="p0"/>
    <w:basedOn w:val="797"/>
    <w:next w:val="893"/>
    <w:link w:val="797"/>
    <w:pPr>
      <w:jc w:val="left"/>
      <w:spacing w:before="100" w:beforeAutospacing="1" w:after="100" w:afterAutospacing="1"/>
      <w:widowControl/>
    </w:pPr>
    <w:rPr>
      <w:rFonts w:ascii="宋体" w:hAnsi="宋体" w:eastAsia="宋体" w:cs="宋体"/>
      <w:sz w:val="24"/>
    </w:rPr>
  </w:style>
  <w:style w:type="paragraph" w:styleId="894">
    <w:name w:val=" Char Char Char Char1 Char Char"/>
    <w:basedOn w:val="797"/>
    <w:next w:val="894"/>
    <w:link w:val="797"/>
    <w:pPr>
      <w:tabs>
        <w:tab w:val="left" w:pos="360" w:leader="none"/>
      </w:tabs>
    </w:pPr>
    <w:rPr>
      <w:rFonts w:ascii="Times New Roman" w:hAnsi="Times New Roman" w:eastAsia="宋体" w:cs="Times New Roman"/>
      <w:sz w:val="24"/>
    </w:rPr>
  </w:style>
  <w:style w:type="paragraph" w:styleId="895">
    <w:name w:val="HTML 预先格式化"/>
    <w:basedOn w:val="797"/>
    <w:next w:val="895"/>
    <w:link w:val="7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96">
    <w:name w:val="第四级"/>
    <w:basedOn w:val="797"/>
    <w:next w:val="797"/>
    <w:link w:val="797"/>
    <w:pPr>
      <w:numPr>
        <w:ilvl w:val="3"/>
        <w:numId w:val="1"/>
      </w:numPr>
      <w:spacing w:line="360" w:lineRule="auto"/>
      <w:tabs>
        <w:tab w:val="left" w:pos="1134" w:leader="none"/>
      </w:tabs>
    </w:pPr>
    <w:rPr>
      <w:rFonts w:ascii="宋体" w:hAnsi="宋体" w:eastAsia="仿宋" w:cs="Times New Roman"/>
      <w:sz w:val="28"/>
      <w:szCs w:val="21"/>
    </w:rPr>
  </w:style>
  <w:style w:type="paragraph" w:styleId="897">
    <w:name w:val="正文内容"/>
    <w:basedOn w:val="797"/>
    <w:next w:val="897"/>
    <w:link w:val="797"/>
    <w:pPr>
      <w:ind w:firstLine="200"/>
      <w:spacing w:line="360" w:lineRule="auto"/>
    </w:pPr>
    <w:rPr>
      <w:rFonts w:ascii="Times New Roman" w:hAnsi="Times New Roman" w:eastAsia="宋体" w:cs="Times New Roman"/>
      <w:sz w:val="24"/>
      <w:szCs w:val="24"/>
    </w:rPr>
  </w:style>
  <w:style w:type="paragraph" w:styleId="898">
    <w:name w:val="标题1"/>
    <w:basedOn w:val="797"/>
    <w:next w:val="797"/>
    <w:link w:val="797"/>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899">
    <w:name w:val="Char"/>
    <w:basedOn w:val="797"/>
    <w:next w:val="899"/>
    <w:link w:val="797"/>
    <w:pPr>
      <w:tabs>
        <w:tab w:val="left" w:pos="360" w:leader="none"/>
      </w:tabs>
    </w:pPr>
    <w:rPr>
      <w:rFonts w:ascii="Times New Roman" w:hAnsi="Times New Roman" w:eastAsia="宋体" w:cs="Times New Roman"/>
      <w:sz w:val="24"/>
    </w:rPr>
  </w:style>
  <w:style w:type="paragraph" w:styleId="900">
    <w:name w:val="空行"/>
    <w:basedOn w:val="797"/>
    <w:next w:val="797"/>
    <w:link w:val="797"/>
    <w:pPr>
      <w:jc w:val="center"/>
      <w:spacing w:line="360" w:lineRule="atLeast"/>
    </w:pPr>
    <w:rPr>
      <w:rFonts w:ascii="Times New Roman" w:hAnsi="Times New Roman" w:eastAsia="宋体" w:cs="Times New Roman"/>
      <w:spacing w:val="20"/>
      <w:sz w:val="24"/>
      <w:szCs w:val="20"/>
    </w:rPr>
  </w:style>
  <w:style w:type="paragraph" w:styleId="901">
    <w:name w:val="正文空2格  1."/>
    <w:basedOn w:val="797"/>
    <w:next w:val="901"/>
    <w:link w:val="797"/>
    <w:pPr>
      <w:ind w:firstLine="480"/>
      <w:spacing w:line="360" w:lineRule="auto"/>
    </w:pPr>
    <w:rPr>
      <w:rFonts w:ascii="宋体" w:hAnsi="Times New Roman" w:eastAsia="仿宋" w:cs="宋体"/>
      <w:sz w:val="28"/>
      <w:szCs w:val="20"/>
    </w:rPr>
  </w:style>
  <w:style w:type="paragraph" w:styleId="902">
    <w:name w:val="_正文段落"/>
    <w:basedOn w:val="797"/>
    <w:next w:val="902"/>
    <w:link w:val="797"/>
    <w:pPr>
      <w:ind w:firstLine="200"/>
      <w:spacing w:line="360" w:lineRule="auto"/>
    </w:pPr>
    <w:rPr>
      <w:rFonts w:ascii="Times New Roman" w:hAnsi="Times New Roman" w:eastAsia="宋体" w:cs="Times New Roman"/>
      <w:sz w:val="24"/>
    </w:rPr>
  </w:style>
  <w:style w:type="paragraph" w:styleId="903">
    <w:name w:val="默认段落字体 Para Char Char Char Char Char Char Char Char Char1 Char Char Char Char Char Char Char"/>
    <w:basedOn w:val="815"/>
    <w:next w:val="903"/>
    <w:link w:val="797"/>
    <w:rPr>
      <w:rFonts w:ascii="Tahoma" w:hAnsi="Tahoma" w:eastAsia="宋体" w:cs="Times New Roman"/>
      <w:sz w:val="24"/>
    </w:rPr>
  </w:style>
  <w:style w:type="paragraph" w:styleId="904">
    <w:name w:val="xl47"/>
    <w:basedOn w:val="797"/>
    <w:next w:val="904"/>
    <w:link w:val="797"/>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905">
    <w:name w:val="Char Char Char Char"/>
    <w:basedOn w:val="815"/>
    <w:next w:val="905"/>
    <w:link w:val="797"/>
    <w:pPr>
      <w:spacing w:line="360" w:lineRule="auto"/>
    </w:pPr>
    <w:rPr>
      <w:rFonts w:ascii="Tahoma" w:hAnsi="Tahoma" w:eastAsia="宋体" w:cs="Times New Roman"/>
      <w:sz w:val="24"/>
    </w:rPr>
  </w:style>
  <w:style w:type="paragraph" w:styleId="906">
    <w:name w:val=" Char"/>
    <w:basedOn w:val="797"/>
    <w:next w:val="906"/>
    <w:link w:val="797"/>
    <w:rPr>
      <w:rFonts w:ascii="Tahoma" w:hAnsi="Tahoma" w:eastAsia="宋体" w:cs="Times New Roman"/>
      <w:sz w:val="24"/>
      <w:szCs w:val="20"/>
    </w:rPr>
  </w:style>
  <w:style w:type="paragraph" w:styleId="907">
    <w:name w:val="纯文本3"/>
    <w:basedOn w:val="797"/>
    <w:next w:val="907"/>
    <w:link w:val="797"/>
    <w:rPr>
      <w:rFonts w:hint="eastAsia" w:ascii="宋体" w:hAnsi="Courier New" w:eastAsia="楷体_GB2312" w:cs="Times New Roman"/>
      <w:sz w:val="28"/>
      <w:szCs w:val="20"/>
    </w:rPr>
  </w:style>
  <w:style w:type="paragraph" w:styleId="908">
    <w:name w:val="Table Paragraph"/>
    <w:basedOn w:val="797"/>
    <w:next w:val="908"/>
    <w:link w:val="797"/>
    <w:rPr>
      <w:rFonts w:ascii="宋体" w:hAnsi="宋体" w:eastAsia="宋体" w:cs="宋体"/>
      <w:szCs w:val="24"/>
      <w:lang w:val="zh-CN" w:bidi="zh-CN"/>
    </w:rPr>
  </w:style>
  <w:style w:type="paragraph" w:styleId="909">
    <w:name w:val="_Style 35"/>
    <w:basedOn w:val="797"/>
    <w:next w:val="861"/>
    <w:link w:val="797"/>
    <w:uiPriority w:val="34"/>
    <w:qFormat/>
    <w:pPr>
      <w:ind w:firstLine="420"/>
    </w:pPr>
    <w:rPr>
      <w:rFonts w:ascii="Calibri" w:hAnsi="Calibri"/>
      <w:szCs w:val="24"/>
    </w:rPr>
  </w:style>
  <w:style w:type="character" w:styleId="910">
    <w:name w:val="列出段落 字符"/>
    <w:next w:val="910"/>
    <w:link w:val="797"/>
    <w:rPr>
      <w:rFonts w:ascii="Times New Roman" w:hAnsi="Times New Roman" w:eastAsia="宋体" w:cs="Times New Roman"/>
      <w:sz w:val="21"/>
      <w:szCs w:val="22"/>
    </w:rPr>
  </w:style>
  <w:style w:type="paragraph" w:styleId="911">
    <w:name w:val="题注4"/>
    <w:basedOn w:val="797"/>
    <w:next w:val="814"/>
    <w:link w:val="797"/>
    <w:qFormat/>
    <w:pPr>
      <w:ind w:left="-40" w:right="-107" w:hanging="46"/>
      <w:jc w:val="center"/>
    </w:pPr>
    <w:rPr>
      <w:b/>
      <w:color w:val="000000"/>
      <w:sz w:val="18"/>
      <w:szCs w:val="21"/>
      <w:lang w:val="en-GB"/>
    </w:rPr>
  </w:style>
  <w:style w:type="paragraph" w:styleId="912">
    <w:name w:val="表格文字"/>
    <w:basedOn w:val="797"/>
    <w:next w:val="912"/>
    <w:link w:val="797"/>
    <w:pPr>
      <w:jc w:val="left"/>
    </w:pPr>
    <w:rPr>
      <w:bCs/>
      <w:spacing w:val="10"/>
      <w:szCs w:val="20"/>
    </w:rPr>
  </w:style>
  <w:style w:type="paragraph" w:styleId="913">
    <w:name w:val="注释标题1"/>
    <w:basedOn w:val="797"/>
    <w:next w:val="797"/>
    <w:link w:val="797"/>
    <w:uiPriority w:val="1664"/>
    <w:qFormat/>
    <w:rPr>
      <w:rFonts w:ascii="Verdana" w:hAnsi="Verdana" w:cs="Times New Roman"/>
      <w:szCs w:val="20"/>
    </w:rPr>
  </w:style>
  <w:style w:type="paragraph" w:styleId="914">
    <w:name w:val="纯文本1"/>
    <w:basedOn w:val="797"/>
    <w:next w:val="914"/>
    <w:link w:val="797"/>
    <w:uiPriority w:val="1650"/>
    <w:qFormat/>
    <w:rPr>
      <w:rFonts w:ascii="宋体" w:hAnsi="宋体" w:cs="Times New Roman"/>
      <w:szCs w:val="20"/>
    </w:rPr>
  </w:style>
  <w:style w:type="paragraph" w:styleId="915">
    <w:name w:val="正文1"/>
    <w:basedOn w:val="797"/>
    <w:next w:val="915"/>
    <w:link w:val="797"/>
    <w:uiPriority w:val="99"/>
    <w:qFormat/>
    <w:pPr>
      <w:ind w:left="420"/>
      <w:spacing w:line="300" w:lineRule="auto"/>
      <w:widowControl/>
    </w:pPr>
    <w:rPr>
      <w:szCs w:val="24"/>
    </w:rPr>
  </w:style>
  <w:style w:type="paragraph" w:styleId="916">
    <w:name w:val="正文缩进1"/>
    <w:basedOn w:val="797"/>
    <w:next w:val="797"/>
    <w:link w:val="797"/>
    <w:qFormat/>
    <w:pPr>
      <w:ind w:firstLine="420"/>
      <w:jc w:val="left"/>
      <w:widowControl/>
    </w:pPr>
    <w:rPr>
      <w:rFonts w:eastAsia="楷体_GB2312"/>
      <w:sz w:val="24"/>
      <w:szCs w:val="20"/>
    </w:rPr>
  </w:style>
  <w:style w:type="character" w:styleId="5755" w:default="1">
    <w:name w:val="Default Paragraph Font"/>
    <w:uiPriority w:val="1"/>
    <w:semiHidden/>
    <w:unhideWhenUsed/>
  </w:style>
  <w:style w:type="numbering" w:styleId="5756" w:default="1">
    <w:name w:val="No List"/>
    <w:uiPriority w:val="99"/>
    <w:semiHidden/>
    <w:unhideWhenUsed/>
  </w:style>
  <w:style w:type="table" w:styleId="57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刘诚进</cp:lastModifiedBy>
  <cp:revision>5</cp:revision>
  <dcterms:created xsi:type="dcterms:W3CDTF">2023-03-31T06:50:00Z</dcterms:created>
  <dcterms:modified xsi:type="dcterms:W3CDTF">2025-12-16T02:07:53Z</dcterms:modified>
</cp:coreProperties>
</file>